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F8A02" w14:textId="3933B8DB" w:rsidR="00B06C68" w:rsidRDefault="009218FA" w:rsidP="009A533D">
      <w:pPr>
        <w:pStyle w:val="NoSpacing"/>
        <w:jc w:val="center"/>
        <w:rPr>
          <w:b/>
          <w:sz w:val="32"/>
          <w:szCs w:val="32"/>
          <w:u w:val="single"/>
          <w:lang w:val="en-GB"/>
        </w:rPr>
      </w:pPr>
      <w:r>
        <w:rPr>
          <w:b/>
          <w:sz w:val="32"/>
          <w:szCs w:val="32"/>
          <w:u w:val="single"/>
          <w:lang w:val="en-GB"/>
        </w:rPr>
        <w:t>Modern Slavery Statement</w:t>
      </w:r>
      <w:r w:rsidR="004E5D83">
        <w:rPr>
          <w:b/>
          <w:sz w:val="32"/>
          <w:szCs w:val="32"/>
          <w:u w:val="single"/>
          <w:lang w:val="en-GB"/>
        </w:rPr>
        <w:t xml:space="preserve"> </w:t>
      </w:r>
    </w:p>
    <w:p w14:paraId="00DFE72A" w14:textId="6F967956" w:rsidR="009218FA" w:rsidRDefault="009218FA" w:rsidP="009218FA">
      <w:pPr>
        <w:rPr>
          <w:b/>
        </w:rPr>
      </w:pPr>
    </w:p>
    <w:p w14:paraId="36627F7C" w14:textId="77777777" w:rsidR="00B861D6" w:rsidRPr="00B861D6" w:rsidRDefault="00B861D6" w:rsidP="00B861D6">
      <w:r w:rsidRPr="00B861D6">
        <w:rPr>
          <w:b/>
          <w:bCs/>
        </w:rPr>
        <w:t>Modern Slavery and Human Trafficking Statement – Financial Year 2025</w:t>
      </w:r>
    </w:p>
    <w:p w14:paraId="7BC19B79" w14:textId="77777777" w:rsidR="00B861D6" w:rsidRPr="00B861D6" w:rsidRDefault="00B861D6" w:rsidP="00B861D6">
      <w:pPr>
        <w:rPr>
          <w:b/>
          <w:bCs/>
        </w:rPr>
      </w:pPr>
      <w:r w:rsidRPr="00B861D6">
        <w:rPr>
          <w:b/>
          <w:bCs/>
        </w:rPr>
        <w:t>Definitions</w:t>
      </w:r>
    </w:p>
    <w:p w14:paraId="4D767295" w14:textId="77777777" w:rsidR="00B861D6" w:rsidRPr="00B861D6" w:rsidRDefault="00B861D6" w:rsidP="00B861D6">
      <w:r w:rsidRPr="00B861D6">
        <w:t>PJD Safety Supplies Ltd considers that modern slavery encompasses:</w:t>
      </w:r>
    </w:p>
    <w:p w14:paraId="5416A142" w14:textId="77777777" w:rsidR="00B861D6" w:rsidRPr="00B861D6" w:rsidRDefault="00B861D6" w:rsidP="00B861D6">
      <w:pPr>
        <w:numPr>
          <w:ilvl w:val="0"/>
          <w:numId w:val="12"/>
        </w:numPr>
      </w:pPr>
      <w:r w:rsidRPr="00B861D6">
        <w:t>Human trafficking</w:t>
      </w:r>
    </w:p>
    <w:p w14:paraId="033546BC" w14:textId="77777777" w:rsidR="00B861D6" w:rsidRPr="00B861D6" w:rsidRDefault="00B861D6" w:rsidP="00B861D6">
      <w:pPr>
        <w:numPr>
          <w:ilvl w:val="0"/>
          <w:numId w:val="12"/>
        </w:numPr>
      </w:pPr>
      <w:r w:rsidRPr="00B861D6">
        <w:t>Forced work, through mental or physical threat</w:t>
      </w:r>
    </w:p>
    <w:p w14:paraId="2DE74109" w14:textId="77777777" w:rsidR="00B861D6" w:rsidRPr="00B861D6" w:rsidRDefault="00B861D6" w:rsidP="00B861D6">
      <w:pPr>
        <w:numPr>
          <w:ilvl w:val="0"/>
          <w:numId w:val="12"/>
        </w:numPr>
      </w:pPr>
      <w:r w:rsidRPr="00B861D6">
        <w:t>Being owned or controlled by an employer through mental or physical abuse</w:t>
      </w:r>
    </w:p>
    <w:p w14:paraId="1BB6CC98" w14:textId="77777777" w:rsidR="00B861D6" w:rsidRPr="00B861D6" w:rsidRDefault="00B861D6" w:rsidP="00B861D6">
      <w:pPr>
        <w:numPr>
          <w:ilvl w:val="0"/>
          <w:numId w:val="12"/>
        </w:numPr>
      </w:pPr>
      <w:r w:rsidRPr="00B861D6">
        <w:t>Being dehumanised or treated as a commodity</w:t>
      </w:r>
    </w:p>
    <w:p w14:paraId="4ED390ED" w14:textId="77777777" w:rsidR="00B861D6" w:rsidRPr="00B861D6" w:rsidRDefault="00B861D6" w:rsidP="00B861D6">
      <w:pPr>
        <w:numPr>
          <w:ilvl w:val="0"/>
          <w:numId w:val="12"/>
        </w:numPr>
      </w:pPr>
      <w:r w:rsidRPr="00B861D6">
        <w:t>Being physically constrained or having restricted freedom of movement</w:t>
      </w:r>
    </w:p>
    <w:p w14:paraId="256BA64C" w14:textId="77777777" w:rsidR="00B861D6" w:rsidRPr="00B861D6" w:rsidRDefault="00B861D6" w:rsidP="00B861D6">
      <w:pPr>
        <w:rPr>
          <w:b/>
          <w:bCs/>
        </w:rPr>
      </w:pPr>
      <w:r w:rsidRPr="00B861D6">
        <w:rPr>
          <w:b/>
          <w:bCs/>
        </w:rPr>
        <w:t>Commitment</w:t>
      </w:r>
    </w:p>
    <w:p w14:paraId="2DD76F0D" w14:textId="77777777" w:rsidR="00B861D6" w:rsidRPr="00B861D6" w:rsidRDefault="00B861D6" w:rsidP="00B861D6">
      <w:r w:rsidRPr="00B861D6">
        <w:t xml:space="preserve">PJD Safety Supplies Ltd acknowledges its responsibilities in relation to tackling modern slavery and remains fully committed to the provisions of the </w:t>
      </w:r>
      <w:r w:rsidRPr="00B861D6">
        <w:rPr>
          <w:b/>
          <w:bCs/>
        </w:rPr>
        <w:t>Modern Slavery Act 2015</w:t>
      </w:r>
      <w:r w:rsidRPr="00B861D6">
        <w:t>.</w:t>
      </w:r>
    </w:p>
    <w:p w14:paraId="3CCC1D77" w14:textId="77777777" w:rsidR="00B861D6" w:rsidRPr="00B861D6" w:rsidRDefault="00B861D6" w:rsidP="00B861D6">
      <w:r w:rsidRPr="00B861D6">
        <w:t xml:space="preserve">We do not </w:t>
      </w:r>
      <w:proofErr w:type="gramStart"/>
      <w:r w:rsidRPr="00B861D6">
        <w:t>enter into</w:t>
      </w:r>
      <w:proofErr w:type="gramEnd"/>
      <w:r w:rsidRPr="00B861D6">
        <w:t xml:space="preserve"> business with any organisation, in the United Kingdom or abroad, which knowingly supports or is found to be involved in slavery, servitude, or forced/compulsory labour.</w:t>
      </w:r>
    </w:p>
    <w:p w14:paraId="7D932C9A" w14:textId="77777777" w:rsidR="00B861D6" w:rsidRPr="00B861D6" w:rsidRDefault="00B861D6" w:rsidP="00B861D6">
      <w:pPr>
        <w:rPr>
          <w:b/>
          <w:bCs/>
        </w:rPr>
      </w:pPr>
      <w:r w:rsidRPr="00B861D6">
        <w:rPr>
          <w:b/>
          <w:bCs/>
        </w:rPr>
        <w:t>Supply Chain</w:t>
      </w:r>
    </w:p>
    <w:p w14:paraId="12231000" w14:textId="77777777" w:rsidR="00B861D6" w:rsidRPr="00B861D6" w:rsidRDefault="00B861D6" w:rsidP="00B861D6">
      <w:r w:rsidRPr="00B861D6">
        <w:t>We continue to apply due diligence to assess and manage risks within our supply chain. Measures include:</w:t>
      </w:r>
    </w:p>
    <w:p w14:paraId="662993CF" w14:textId="77777777" w:rsidR="00B861D6" w:rsidRPr="00B861D6" w:rsidRDefault="00B861D6" w:rsidP="00B861D6">
      <w:pPr>
        <w:numPr>
          <w:ilvl w:val="0"/>
          <w:numId w:val="13"/>
        </w:numPr>
      </w:pPr>
      <w:r w:rsidRPr="00B861D6">
        <w:t xml:space="preserve">A </w:t>
      </w:r>
      <w:r w:rsidRPr="00B861D6">
        <w:rPr>
          <w:b/>
          <w:bCs/>
        </w:rPr>
        <w:t>Supplier Assessment Questionnaire (SAQ)</w:t>
      </w:r>
      <w:r w:rsidRPr="00B861D6">
        <w:t>, which must be completed by all new suppliers.</w:t>
      </w:r>
    </w:p>
    <w:p w14:paraId="641854CC" w14:textId="77777777" w:rsidR="00B861D6" w:rsidRPr="00B861D6" w:rsidRDefault="00B861D6" w:rsidP="00B861D6">
      <w:pPr>
        <w:numPr>
          <w:ilvl w:val="0"/>
          <w:numId w:val="13"/>
        </w:numPr>
      </w:pPr>
      <w:r w:rsidRPr="00B861D6">
        <w:t xml:space="preserve">A </w:t>
      </w:r>
      <w:r w:rsidRPr="00B861D6">
        <w:rPr>
          <w:b/>
          <w:bCs/>
        </w:rPr>
        <w:t>Sustainable Procurement Policy</w:t>
      </w:r>
      <w:r w:rsidRPr="00B861D6">
        <w:t>, which supports ethical sourcing and supplier accountability.</w:t>
      </w:r>
    </w:p>
    <w:p w14:paraId="147A05D5" w14:textId="77777777" w:rsidR="00B861D6" w:rsidRPr="00B861D6" w:rsidRDefault="00B861D6" w:rsidP="00B861D6">
      <w:pPr>
        <w:numPr>
          <w:ilvl w:val="0"/>
          <w:numId w:val="13"/>
        </w:numPr>
      </w:pPr>
      <w:r w:rsidRPr="00B861D6">
        <w:t>Engagement with higher-risk suppliers to establish and review the actions they are taking to eliminate modern slavery.</w:t>
      </w:r>
    </w:p>
    <w:p w14:paraId="283E6930" w14:textId="77777777" w:rsidR="00B861D6" w:rsidRPr="00B861D6" w:rsidRDefault="00B861D6" w:rsidP="00B861D6">
      <w:pPr>
        <w:numPr>
          <w:ilvl w:val="0"/>
          <w:numId w:val="13"/>
        </w:numPr>
      </w:pPr>
      <w:r w:rsidRPr="00B861D6">
        <w:t xml:space="preserve">From 2025 onwards, our </w:t>
      </w:r>
      <w:r w:rsidRPr="00B861D6">
        <w:rPr>
          <w:b/>
          <w:bCs/>
        </w:rPr>
        <w:t>Modern Slavery Policy</w:t>
      </w:r>
      <w:r w:rsidRPr="00B861D6">
        <w:t xml:space="preserve"> is embedded into all new supplier contracts and terms of business.</w:t>
      </w:r>
    </w:p>
    <w:p w14:paraId="7D5621BD" w14:textId="77777777" w:rsidR="00B861D6" w:rsidRPr="00B861D6" w:rsidRDefault="00B861D6" w:rsidP="00B861D6">
      <w:pPr>
        <w:rPr>
          <w:b/>
          <w:bCs/>
        </w:rPr>
      </w:pPr>
      <w:r w:rsidRPr="00B861D6">
        <w:rPr>
          <w:b/>
          <w:bCs/>
        </w:rPr>
        <w:t>Continuous Improvement</w:t>
      </w:r>
    </w:p>
    <w:p w14:paraId="6C593E8D" w14:textId="77777777" w:rsidR="00B861D6" w:rsidRPr="00B861D6" w:rsidRDefault="00B861D6" w:rsidP="00B861D6">
      <w:r w:rsidRPr="00B861D6">
        <w:t>In 2025, PJD Safety Supplies Ltd will continue to strengthen monitoring across its supply chain and provide training and guidance to relevant staff to increase awareness of modern slavery risks.</w:t>
      </w:r>
    </w:p>
    <w:p w14:paraId="36C1A0D5" w14:textId="77777777" w:rsidR="00B861D6" w:rsidRPr="00B861D6" w:rsidRDefault="00B861D6" w:rsidP="00B861D6">
      <w:pPr>
        <w:rPr>
          <w:b/>
          <w:bCs/>
        </w:rPr>
      </w:pPr>
      <w:r w:rsidRPr="00B861D6">
        <w:rPr>
          <w:b/>
          <w:bCs/>
        </w:rPr>
        <w:t>Conclusion</w:t>
      </w:r>
    </w:p>
    <w:p w14:paraId="3D43DDBA" w14:textId="77777777" w:rsidR="00B861D6" w:rsidRPr="00B861D6" w:rsidRDefault="00B861D6" w:rsidP="00B861D6">
      <w:r w:rsidRPr="00B861D6">
        <w:lastRenderedPageBreak/>
        <w:t xml:space="preserve">Slavery and human trafficking are serious crimes. PJD Safety Supplies Ltd is committed to upholding the highest ethical standards across our operations and supply chain. We are pleased to submit this statement, reaffirming our commitment to the aims of the </w:t>
      </w:r>
      <w:r w:rsidRPr="00B861D6">
        <w:rPr>
          <w:b/>
          <w:bCs/>
        </w:rPr>
        <w:t>Modern Slavery Act 2015</w:t>
      </w:r>
      <w:r w:rsidRPr="00B861D6">
        <w:t>.</w:t>
      </w:r>
    </w:p>
    <w:tbl>
      <w:tblPr>
        <w:tblpPr w:leftFromText="180" w:rightFromText="180" w:vertAnchor="text" w:horzAnchor="margin" w:tblpY="363"/>
        <w:tblOverlap w:val="never"/>
        <w:tblW w:w="4542" w:type="pct"/>
        <w:tblCellSpacing w:w="0" w:type="dxa"/>
        <w:tblCellMar>
          <w:left w:w="0" w:type="dxa"/>
          <w:right w:w="0" w:type="dxa"/>
        </w:tblCellMar>
        <w:tblLook w:val="04A0" w:firstRow="1" w:lastRow="0" w:firstColumn="1" w:lastColumn="0" w:noHBand="0" w:noVBand="1"/>
      </w:tblPr>
      <w:tblGrid>
        <w:gridCol w:w="8199"/>
      </w:tblGrid>
      <w:tr w:rsidR="00B861D6" w:rsidRPr="00526174" w14:paraId="24CB6C0F" w14:textId="77777777" w:rsidTr="00B861D6">
        <w:trPr>
          <w:trHeight w:val="644"/>
          <w:tblCellSpacing w:w="0" w:type="dxa"/>
        </w:trPr>
        <w:tc>
          <w:tcPr>
            <w:tcW w:w="0" w:type="auto"/>
            <w:shd w:val="clear" w:color="auto" w:fill="FFFFFF"/>
            <w:tcMar>
              <w:top w:w="0" w:type="dxa"/>
              <w:left w:w="0" w:type="dxa"/>
              <w:bottom w:w="240" w:type="dxa"/>
              <w:right w:w="0" w:type="dxa"/>
            </w:tcMar>
            <w:vAlign w:val="center"/>
            <w:hideMark/>
          </w:tcPr>
          <w:p w14:paraId="77E43098" w14:textId="77777777" w:rsidR="00B861D6" w:rsidRPr="00396C1C" w:rsidRDefault="00B861D6" w:rsidP="00B861D6">
            <w:pPr>
              <w:spacing w:after="0" w:line="240" w:lineRule="auto"/>
              <w:rPr>
                <w:rFonts w:eastAsia="Times New Roman" w:cs="Tahoma"/>
                <w:color w:val="777777"/>
                <w:sz w:val="26"/>
                <w:szCs w:val="26"/>
              </w:rPr>
            </w:pPr>
          </w:p>
          <w:p w14:paraId="082923A5" w14:textId="77777777" w:rsidR="00B861D6" w:rsidRPr="00396C1C" w:rsidRDefault="00B861D6" w:rsidP="00B861D6">
            <w:pPr>
              <w:spacing w:after="0" w:line="240" w:lineRule="auto"/>
              <w:jc w:val="center"/>
              <w:rPr>
                <w:rFonts w:eastAsia="Times New Roman" w:cs="Tahoma"/>
                <w:color w:val="777777"/>
                <w:sz w:val="26"/>
                <w:szCs w:val="26"/>
              </w:rPr>
            </w:pPr>
          </w:p>
          <w:p w14:paraId="2D491E20" w14:textId="77777777" w:rsidR="00B861D6" w:rsidRPr="00396C1C" w:rsidRDefault="00B861D6" w:rsidP="00B861D6">
            <w:pPr>
              <w:spacing w:after="0" w:line="240" w:lineRule="auto"/>
              <w:jc w:val="center"/>
              <w:rPr>
                <w:rFonts w:eastAsia="Times New Roman" w:cs="Tahoma"/>
                <w:sz w:val="26"/>
                <w:szCs w:val="26"/>
              </w:rPr>
            </w:pPr>
            <w:r w:rsidRPr="00396C1C">
              <w:rPr>
                <w:rFonts w:eastAsia="Times New Roman" w:cs="Tahoma"/>
                <w:sz w:val="26"/>
                <w:szCs w:val="26"/>
              </w:rPr>
              <w:t>Signed</w:t>
            </w:r>
            <w:r>
              <w:rPr>
                <w:rFonts w:eastAsia="Times New Roman" w:cs="Tahoma"/>
                <w:sz w:val="26"/>
                <w:szCs w:val="26"/>
              </w:rPr>
              <w:t xml:space="preserve"> </w:t>
            </w:r>
            <w:r w:rsidRPr="00E03695">
              <w:rPr>
                <w:rFonts w:ascii="Blackadder ITC" w:eastAsia="Times New Roman" w:hAnsi="Blackadder ITC" w:cs="Tahoma"/>
                <w:sz w:val="26"/>
                <w:szCs w:val="26"/>
              </w:rPr>
              <w:t>Paul Coote</w:t>
            </w:r>
          </w:p>
          <w:p w14:paraId="69157967" w14:textId="77777777" w:rsidR="00B861D6" w:rsidRPr="00396C1C" w:rsidRDefault="00B861D6" w:rsidP="00B861D6">
            <w:pPr>
              <w:spacing w:after="0" w:line="240" w:lineRule="auto"/>
              <w:jc w:val="center"/>
              <w:rPr>
                <w:rFonts w:eastAsia="Times New Roman" w:cs="Tahoma"/>
                <w:sz w:val="26"/>
                <w:szCs w:val="26"/>
              </w:rPr>
            </w:pPr>
            <w:r>
              <w:rPr>
                <w:rFonts w:eastAsia="Times New Roman" w:cs="Tahoma"/>
                <w:sz w:val="26"/>
                <w:szCs w:val="26"/>
              </w:rPr>
              <w:t>PJD Safety Supplies Ltd</w:t>
            </w:r>
          </w:p>
          <w:p w14:paraId="77DF6511" w14:textId="77777777" w:rsidR="00B861D6" w:rsidRDefault="00B861D6" w:rsidP="00B861D6">
            <w:pPr>
              <w:spacing w:after="0" w:line="240" w:lineRule="auto"/>
              <w:jc w:val="center"/>
              <w:rPr>
                <w:rFonts w:eastAsia="Times New Roman" w:cs="Tahoma"/>
                <w:sz w:val="26"/>
                <w:szCs w:val="26"/>
              </w:rPr>
            </w:pPr>
            <w:r w:rsidRPr="00396C1C">
              <w:rPr>
                <w:rFonts w:eastAsia="Times New Roman" w:cs="Tahoma"/>
                <w:sz w:val="26"/>
                <w:szCs w:val="26"/>
              </w:rPr>
              <w:t>Managing Director</w:t>
            </w:r>
          </w:p>
          <w:p w14:paraId="503538A8" w14:textId="07A25B85" w:rsidR="00B861D6" w:rsidRPr="00BF2459" w:rsidRDefault="00B861D6" w:rsidP="00B861D6">
            <w:pPr>
              <w:spacing w:after="0" w:line="240" w:lineRule="auto"/>
              <w:jc w:val="center"/>
              <w:rPr>
                <w:rFonts w:eastAsia="Times New Roman" w:cs="Tahoma"/>
                <w:sz w:val="26"/>
                <w:szCs w:val="26"/>
              </w:rPr>
            </w:pPr>
            <w:r>
              <w:rPr>
                <w:rFonts w:eastAsia="Times New Roman" w:cs="Tahoma"/>
                <w:sz w:val="26"/>
                <w:szCs w:val="26"/>
              </w:rPr>
              <w:t>Date: 202</w:t>
            </w:r>
            <w:r w:rsidR="00B276AE">
              <w:rPr>
                <w:rFonts w:eastAsia="Times New Roman" w:cs="Tahoma"/>
                <w:sz w:val="26"/>
                <w:szCs w:val="26"/>
              </w:rPr>
              <w:t>5</w:t>
            </w:r>
          </w:p>
        </w:tc>
      </w:tr>
    </w:tbl>
    <w:p w14:paraId="15874B66" w14:textId="144BD0E3" w:rsidR="00B06C68" w:rsidRPr="009218FA" w:rsidRDefault="00B06C68" w:rsidP="009218FA"/>
    <w:p w14:paraId="6D06B4E9" w14:textId="77777777" w:rsidR="009A533D" w:rsidRPr="009A533D" w:rsidRDefault="009A533D" w:rsidP="009A533D">
      <w:pPr>
        <w:pStyle w:val="NoSpacing"/>
        <w:jc w:val="center"/>
        <w:rPr>
          <w:b/>
          <w:sz w:val="24"/>
          <w:szCs w:val="24"/>
          <w:u w:val="single"/>
          <w:lang w:val="en-GB"/>
        </w:rPr>
      </w:pPr>
    </w:p>
    <w:p w14:paraId="355737EB" w14:textId="77777777" w:rsidR="00526174" w:rsidRPr="00526174" w:rsidRDefault="00526174" w:rsidP="009A533D">
      <w:pPr>
        <w:spacing w:after="0" w:line="240" w:lineRule="auto"/>
        <w:rPr>
          <w:rFonts w:eastAsia="Times New Roman" w:cs="Tahoma"/>
          <w:vanish/>
          <w:color w:val="777777"/>
          <w:sz w:val="18"/>
          <w:szCs w:val="18"/>
        </w:rPr>
      </w:pPr>
    </w:p>
    <w:p w14:paraId="6E091426" w14:textId="77777777" w:rsidR="0087692A" w:rsidRPr="009A533D" w:rsidRDefault="0087692A" w:rsidP="009A533D">
      <w:pPr>
        <w:spacing w:before="100" w:beforeAutospacing="1" w:after="100" w:afterAutospacing="1" w:line="240" w:lineRule="auto"/>
        <w:rPr>
          <w:sz w:val="18"/>
          <w:szCs w:val="18"/>
        </w:rPr>
      </w:pPr>
    </w:p>
    <w:sectPr w:rsidR="0087692A" w:rsidRPr="009A533D" w:rsidSect="00DE2625">
      <w:headerReference w:type="default" r:id="rId11"/>
      <w:footerReference w:type="default" r:id="rId12"/>
      <w:pgSz w:w="11906" w:h="16838"/>
      <w:pgMar w:top="1440" w:right="1440" w:bottom="1440" w:left="1440" w:header="34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608F8" w14:textId="77777777" w:rsidR="00B41B92" w:rsidRDefault="00B41B92" w:rsidP="00DE2625">
      <w:pPr>
        <w:spacing w:after="0" w:line="240" w:lineRule="auto"/>
      </w:pPr>
      <w:r>
        <w:separator/>
      </w:r>
    </w:p>
  </w:endnote>
  <w:endnote w:type="continuationSeparator" w:id="0">
    <w:p w14:paraId="0791490F" w14:textId="77777777" w:rsidR="00B41B92" w:rsidRDefault="00B41B92" w:rsidP="00DE26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Tahoma">
    <w:altName w:val="Arial (W1)"/>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lackadder ITC">
    <w:panose1 w:val="04020505051007020D02"/>
    <w:charset w:val="00"/>
    <w:family w:val="decorative"/>
    <w:pitch w:val="variable"/>
    <w:sig w:usb0="00000003" w:usb1="00000000"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632" w:type="dxa"/>
      <w:jc w:val="center"/>
      <w:tblLook w:val="04A0" w:firstRow="1" w:lastRow="0" w:firstColumn="1" w:lastColumn="0" w:noHBand="0" w:noVBand="1"/>
    </w:tblPr>
    <w:tblGrid>
      <w:gridCol w:w="3823"/>
      <w:gridCol w:w="3832"/>
      <w:gridCol w:w="2977"/>
    </w:tblGrid>
    <w:tr w:rsidR="00B41B92" w14:paraId="7126AD56" w14:textId="77777777" w:rsidTr="00B06C68">
      <w:trPr>
        <w:jc w:val="center"/>
      </w:trPr>
      <w:tc>
        <w:tcPr>
          <w:tcW w:w="3823" w:type="dxa"/>
          <w:vAlign w:val="center"/>
        </w:tcPr>
        <w:p w14:paraId="087D4536" w14:textId="1A85CFDF" w:rsidR="00B41B92" w:rsidRDefault="00B41B92" w:rsidP="00637542">
          <w:pPr>
            <w:pStyle w:val="Footer"/>
            <w:jc w:val="center"/>
          </w:pPr>
          <w:r>
            <w:t xml:space="preserve">Issued By: </w:t>
          </w:r>
          <w:r w:rsidR="0055591C">
            <w:t xml:space="preserve">Technical </w:t>
          </w:r>
        </w:p>
      </w:tc>
      <w:tc>
        <w:tcPr>
          <w:tcW w:w="3832" w:type="dxa"/>
          <w:vAlign w:val="center"/>
        </w:tcPr>
        <w:p w14:paraId="48D4D580" w14:textId="77777777" w:rsidR="00B41B92" w:rsidRDefault="00B41B92" w:rsidP="00FE56BE">
          <w:pPr>
            <w:pStyle w:val="Footer"/>
            <w:jc w:val="center"/>
          </w:pPr>
          <w:r>
            <w:t>Approved By: Paul Coote</w:t>
          </w:r>
        </w:p>
      </w:tc>
      <w:tc>
        <w:tcPr>
          <w:tcW w:w="2977" w:type="dxa"/>
          <w:vMerge w:val="restart"/>
          <w:vAlign w:val="center"/>
        </w:tcPr>
        <w:p w14:paraId="280F61C6" w14:textId="3F9340F9" w:rsidR="00B41B92" w:rsidRDefault="00F73181" w:rsidP="00FE56BE">
          <w:pPr>
            <w:pStyle w:val="Footer"/>
            <w:jc w:val="center"/>
          </w:pPr>
          <w:r>
            <w:t>Doc No: PJD/PO/</w:t>
          </w:r>
          <w:r w:rsidR="004C05A1">
            <w:t>12</w:t>
          </w:r>
        </w:p>
      </w:tc>
    </w:tr>
    <w:tr w:rsidR="00B41B92" w14:paraId="64C8D8DE" w14:textId="77777777" w:rsidTr="00B06C68">
      <w:trPr>
        <w:jc w:val="center"/>
      </w:trPr>
      <w:tc>
        <w:tcPr>
          <w:tcW w:w="3823" w:type="dxa"/>
          <w:vAlign w:val="center"/>
        </w:tcPr>
        <w:p w14:paraId="73D4B639" w14:textId="77777777" w:rsidR="00B41B92" w:rsidRDefault="00B41B92" w:rsidP="00B06C68">
          <w:pPr>
            <w:pStyle w:val="Footer"/>
            <w:jc w:val="center"/>
          </w:pPr>
          <w:r>
            <w:t>Food Safety Representative</w:t>
          </w:r>
        </w:p>
      </w:tc>
      <w:tc>
        <w:tcPr>
          <w:tcW w:w="3832" w:type="dxa"/>
          <w:vAlign w:val="center"/>
        </w:tcPr>
        <w:p w14:paraId="425F9DD2" w14:textId="77777777" w:rsidR="00B41B92" w:rsidRDefault="00B41B92" w:rsidP="00B06C68">
          <w:pPr>
            <w:pStyle w:val="Footer"/>
            <w:jc w:val="center"/>
          </w:pPr>
          <w:r>
            <w:t>Managing Director</w:t>
          </w:r>
        </w:p>
      </w:tc>
      <w:tc>
        <w:tcPr>
          <w:tcW w:w="2977" w:type="dxa"/>
          <w:vMerge/>
          <w:vAlign w:val="center"/>
        </w:tcPr>
        <w:p w14:paraId="69365788" w14:textId="77777777" w:rsidR="00B41B92" w:rsidRDefault="00B41B92" w:rsidP="00B06C68">
          <w:pPr>
            <w:pStyle w:val="Footer"/>
            <w:jc w:val="center"/>
          </w:pPr>
        </w:p>
      </w:tc>
    </w:tr>
  </w:tbl>
  <w:p w14:paraId="08349C09" w14:textId="77777777" w:rsidR="00B41B92" w:rsidRDefault="00B41B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6F794" w14:textId="77777777" w:rsidR="00B41B92" w:rsidRDefault="00B41B92" w:rsidP="00DE2625">
      <w:pPr>
        <w:spacing w:after="0" w:line="240" w:lineRule="auto"/>
      </w:pPr>
      <w:r>
        <w:separator/>
      </w:r>
    </w:p>
  </w:footnote>
  <w:footnote w:type="continuationSeparator" w:id="0">
    <w:p w14:paraId="03FFDE3A" w14:textId="77777777" w:rsidR="00B41B92" w:rsidRDefault="00B41B92" w:rsidP="00DE26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76" w:type="dxa"/>
      <w:tblInd w:w="-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9"/>
      <w:gridCol w:w="2632"/>
      <w:gridCol w:w="2159"/>
      <w:gridCol w:w="2676"/>
    </w:tblGrid>
    <w:tr w:rsidR="00B41B92" w:rsidRPr="00065BC3" w14:paraId="5F2B43AE" w14:textId="77777777" w:rsidTr="00B06C68">
      <w:trPr>
        <w:trHeight w:val="371"/>
      </w:trPr>
      <w:tc>
        <w:tcPr>
          <w:tcW w:w="8010" w:type="dxa"/>
          <w:gridSpan w:val="3"/>
          <w:vAlign w:val="center"/>
        </w:tcPr>
        <w:p w14:paraId="0F982A75" w14:textId="77777777" w:rsidR="00B41B92" w:rsidRPr="00065BC3" w:rsidRDefault="00B41B92" w:rsidP="00B06C68">
          <w:pPr>
            <w:tabs>
              <w:tab w:val="left" w:pos="270"/>
              <w:tab w:val="center" w:pos="4153"/>
              <w:tab w:val="right" w:pos="8306"/>
            </w:tabs>
            <w:spacing w:after="0" w:line="240" w:lineRule="auto"/>
            <w:rPr>
              <w:rFonts w:ascii="Arial" w:eastAsia="Times New Roman" w:hAnsi="Arial" w:cs="Arial"/>
              <w:b/>
              <w:i/>
              <w:sz w:val="28"/>
              <w:szCs w:val="28"/>
            </w:rPr>
          </w:pPr>
          <w:r w:rsidRPr="00065BC3">
            <w:rPr>
              <w:rFonts w:ascii="Arial" w:eastAsia="Times New Roman" w:hAnsi="Arial" w:cs="Arial"/>
              <w:b/>
              <w:i/>
              <w:sz w:val="28"/>
              <w:szCs w:val="28"/>
            </w:rPr>
            <w:t>FOOD SAFETY AND QUALITY MANAGEMENT SYSTEM</w:t>
          </w:r>
        </w:p>
      </w:tc>
      <w:tc>
        <w:tcPr>
          <w:tcW w:w="2466" w:type="dxa"/>
          <w:vMerge w:val="restart"/>
        </w:tcPr>
        <w:p w14:paraId="5BA189AB" w14:textId="77777777" w:rsidR="00B41B92" w:rsidRPr="00065BC3" w:rsidRDefault="00B41B92" w:rsidP="00B06C68">
          <w:pPr>
            <w:tabs>
              <w:tab w:val="left" w:pos="270"/>
              <w:tab w:val="center" w:pos="4153"/>
              <w:tab w:val="right" w:pos="8306"/>
            </w:tabs>
            <w:spacing w:after="0" w:line="240" w:lineRule="auto"/>
            <w:jc w:val="center"/>
            <w:rPr>
              <w:rFonts w:ascii="Arial" w:eastAsia="Times New Roman" w:hAnsi="Arial" w:cs="Arial"/>
              <w:b/>
              <w:sz w:val="32"/>
              <w:szCs w:val="32"/>
            </w:rPr>
          </w:pPr>
          <w:r>
            <w:rPr>
              <w:rFonts w:ascii="Arial" w:eastAsia="Times New Roman" w:hAnsi="Arial" w:cs="Arial"/>
              <w:b/>
              <w:noProof/>
              <w:sz w:val="32"/>
              <w:szCs w:val="32"/>
            </w:rPr>
            <w:drawing>
              <wp:inline distT="0" distB="0" distL="0" distR="0" wp14:anchorId="24FF7EDD" wp14:editId="78B29E47">
                <wp:extent cx="1543050" cy="646334"/>
                <wp:effectExtent l="19050" t="0" r="0" b="0"/>
                <wp:docPr id="1" name="Picture 0" descr="pj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jdlogo.png"/>
                        <pic:cNvPicPr/>
                      </pic:nvPicPr>
                      <pic:blipFill>
                        <a:blip r:embed="rId1"/>
                        <a:stretch>
                          <a:fillRect/>
                        </a:stretch>
                      </pic:blipFill>
                      <pic:spPr>
                        <a:xfrm>
                          <a:off x="0" y="0"/>
                          <a:ext cx="1544314" cy="646864"/>
                        </a:xfrm>
                        <a:prstGeom prst="rect">
                          <a:avLst/>
                        </a:prstGeom>
                      </pic:spPr>
                    </pic:pic>
                  </a:graphicData>
                </a:graphic>
              </wp:inline>
            </w:drawing>
          </w:r>
        </w:p>
      </w:tc>
    </w:tr>
    <w:tr w:rsidR="00B41B92" w:rsidRPr="00065BC3" w14:paraId="37BF632E" w14:textId="77777777" w:rsidTr="00B06C68">
      <w:trPr>
        <w:trHeight w:val="284"/>
      </w:trPr>
      <w:tc>
        <w:tcPr>
          <w:tcW w:w="8010" w:type="dxa"/>
          <w:gridSpan w:val="3"/>
          <w:vAlign w:val="center"/>
        </w:tcPr>
        <w:p w14:paraId="19D04CE5" w14:textId="77777777" w:rsidR="00B41B92" w:rsidRPr="00065BC3" w:rsidRDefault="00B41B92" w:rsidP="00B06C68">
          <w:pPr>
            <w:tabs>
              <w:tab w:val="left" w:pos="270"/>
              <w:tab w:val="center" w:pos="4153"/>
              <w:tab w:val="right" w:pos="8306"/>
            </w:tabs>
            <w:spacing w:after="0" w:line="240" w:lineRule="auto"/>
            <w:jc w:val="center"/>
            <w:rPr>
              <w:rFonts w:ascii="Arial" w:eastAsia="Times New Roman" w:hAnsi="Arial" w:cs="Arial"/>
              <w:b/>
              <w:sz w:val="20"/>
              <w:szCs w:val="20"/>
            </w:rPr>
          </w:pPr>
          <w:r>
            <w:rPr>
              <w:rFonts w:ascii="Arial" w:eastAsia="Times New Roman" w:hAnsi="Arial" w:cs="Arial"/>
              <w:b/>
              <w:sz w:val="20"/>
              <w:szCs w:val="20"/>
            </w:rPr>
            <w:t>GLOBAL STANDARD FOR STORAGE AND DISTRIBUTION</w:t>
          </w:r>
        </w:p>
      </w:tc>
      <w:tc>
        <w:tcPr>
          <w:tcW w:w="2466" w:type="dxa"/>
          <w:vMerge/>
        </w:tcPr>
        <w:p w14:paraId="6722A922" w14:textId="77777777" w:rsidR="00B41B92" w:rsidRPr="00065BC3" w:rsidRDefault="00B41B92" w:rsidP="00B06C68">
          <w:pPr>
            <w:tabs>
              <w:tab w:val="left" w:pos="270"/>
              <w:tab w:val="center" w:pos="4153"/>
              <w:tab w:val="right" w:pos="8306"/>
            </w:tabs>
            <w:spacing w:after="0" w:line="240" w:lineRule="auto"/>
            <w:jc w:val="center"/>
            <w:rPr>
              <w:rFonts w:ascii="Arial" w:eastAsia="Times New Roman" w:hAnsi="Arial" w:cs="Arial"/>
              <w:b/>
              <w:i/>
              <w:sz w:val="28"/>
              <w:szCs w:val="28"/>
            </w:rPr>
          </w:pPr>
        </w:p>
      </w:tc>
    </w:tr>
    <w:tr w:rsidR="00B41B92" w:rsidRPr="00065BC3" w14:paraId="71BF7A65" w14:textId="77777777" w:rsidTr="00B06C68">
      <w:trPr>
        <w:trHeight w:val="263"/>
      </w:trPr>
      <w:tc>
        <w:tcPr>
          <w:tcW w:w="3093" w:type="dxa"/>
          <w:vAlign w:val="center"/>
        </w:tcPr>
        <w:p w14:paraId="444CAFC8" w14:textId="7548424A" w:rsidR="00D90300" w:rsidRPr="00065BC3" w:rsidRDefault="00B41B92" w:rsidP="00D90300">
          <w:pPr>
            <w:tabs>
              <w:tab w:val="left" w:pos="270"/>
              <w:tab w:val="center" w:pos="4153"/>
              <w:tab w:val="right" w:pos="8306"/>
            </w:tabs>
            <w:spacing w:after="0" w:line="240" w:lineRule="auto"/>
            <w:rPr>
              <w:rFonts w:ascii="Arial" w:eastAsia="Times New Roman" w:hAnsi="Arial" w:cs="Arial"/>
              <w:b/>
              <w:sz w:val="20"/>
              <w:szCs w:val="20"/>
            </w:rPr>
          </w:pPr>
          <w:r>
            <w:rPr>
              <w:rFonts w:ascii="Arial" w:eastAsia="Times New Roman" w:hAnsi="Arial" w:cs="Arial"/>
              <w:b/>
              <w:sz w:val="20"/>
              <w:szCs w:val="20"/>
            </w:rPr>
            <w:t xml:space="preserve">ISSUE NUMBER </w:t>
          </w:r>
          <w:r w:rsidR="0055591C">
            <w:rPr>
              <w:rFonts w:ascii="Arial" w:eastAsia="Times New Roman" w:hAnsi="Arial" w:cs="Arial"/>
              <w:b/>
              <w:sz w:val="20"/>
              <w:szCs w:val="20"/>
            </w:rPr>
            <w:t>7</w:t>
          </w:r>
        </w:p>
      </w:tc>
      <w:tc>
        <w:tcPr>
          <w:tcW w:w="2694" w:type="dxa"/>
          <w:vAlign w:val="center"/>
        </w:tcPr>
        <w:p w14:paraId="4D005DDA" w14:textId="6AA23FA6" w:rsidR="00B41B92" w:rsidRPr="00065BC3" w:rsidRDefault="00B41B92" w:rsidP="00B06C68">
          <w:pPr>
            <w:tabs>
              <w:tab w:val="left" w:pos="270"/>
              <w:tab w:val="center" w:pos="4153"/>
              <w:tab w:val="right" w:pos="8306"/>
            </w:tabs>
            <w:spacing w:after="0" w:line="240" w:lineRule="auto"/>
            <w:rPr>
              <w:rFonts w:ascii="Arial" w:eastAsia="Times New Roman" w:hAnsi="Arial" w:cs="Arial"/>
              <w:b/>
              <w:sz w:val="20"/>
              <w:szCs w:val="20"/>
            </w:rPr>
          </w:pPr>
          <w:r>
            <w:rPr>
              <w:rFonts w:ascii="Arial" w:eastAsia="Times New Roman" w:hAnsi="Arial" w:cs="Arial"/>
              <w:b/>
              <w:sz w:val="20"/>
              <w:szCs w:val="20"/>
            </w:rPr>
            <w:t xml:space="preserve">ISSUE DATE: </w:t>
          </w:r>
          <w:r w:rsidR="00B861D6">
            <w:rPr>
              <w:rFonts w:ascii="Arial" w:eastAsia="Times New Roman" w:hAnsi="Arial" w:cs="Arial"/>
              <w:b/>
              <w:sz w:val="20"/>
              <w:szCs w:val="20"/>
            </w:rPr>
            <w:t>05.02.2025</w:t>
          </w:r>
        </w:p>
      </w:tc>
      <w:tc>
        <w:tcPr>
          <w:tcW w:w="2223" w:type="dxa"/>
          <w:vAlign w:val="center"/>
        </w:tcPr>
        <w:p w14:paraId="221D5800" w14:textId="77777777" w:rsidR="00B41B92" w:rsidRPr="00065BC3" w:rsidRDefault="00B41B92" w:rsidP="00B06C68">
          <w:pPr>
            <w:tabs>
              <w:tab w:val="left" w:pos="270"/>
              <w:tab w:val="center" w:pos="4153"/>
              <w:tab w:val="right" w:pos="8306"/>
            </w:tabs>
            <w:spacing w:after="0" w:line="240" w:lineRule="auto"/>
            <w:rPr>
              <w:rFonts w:ascii="Arial" w:eastAsia="Times New Roman" w:hAnsi="Arial" w:cs="Arial"/>
              <w:b/>
              <w:sz w:val="20"/>
              <w:szCs w:val="20"/>
            </w:rPr>
          </w:pPr>
          <w:r w:rsidRPr="00065BC3">
            <w:rPr>
              <w:rFonts w:ascii="Arial" w:eastAsia="Times New Roman" w:hAnsi="Arial" w:cs="Arial"/>
              <w:b/>
              <w:sz w:val="20"/>
              <w:szCs w:val="20"/>
            </w:rPr>
            <w:t xml:space="preserve">Page </w:t>
          </w:r>
          <w:r w:rsidRPr="00065BC3">
            <w:rPr>
              <w:rFonts w:ascii="Arial" w:eastAsia="Times New Roman" w:hAnsi="Arial" w:cs="Arial"/>
              <w:b/>
              <w:sz w:val="20"/>
              <w:szCs w:val="20"/>
            </w:rPr>
            <w:fldChar w:fldCharType="begin"/>
          </w:r>
          <w:r w:rsidRPr="00065BC3">
            <w:rPr>
              <w:rFonts w:ascii="Arial" w:eastAsia="Times New Roman" w:hAnsi="Arial" w:cs="Arial"/>
              <w:b/>
              <w:sz w:val="20"/>
              <w:szCs w:val="20"/>
            </w:rPr>
            <w:instrText xml:space="preserve"> PAGE  \* Arabic  \* MERGEFORMAT </w:instrText>
          </w:r>
          <w:r w:rsidRPr="00065BC3">
            <w:rPr>
              <w:rFonts w:ascii="Arial" w:eastAsia="Times New Roman" w:hAnsi="Arial" w:cs="Arial"/>
              <w:b/>
              <w:sz w:val="20"/>
              <w:szCs w:val="20"/>
            </w:rPr>
            <w:fldChar w:fldCharType="separate"/>
          </w:r>
          <w:r w:rsidR="00F73181">
            <w:rPr>
              <w:rFonts w:ascii="Arial" w:eastAsia="Times New Roman" w:hAnsi="Arial" w:cs="Arial"/>
              <w:b/>
              <w:noProof/>
              <w:sz w:val="20"/>
              <w:szCs w:val="20"/>
            </w:rPr>
            <w:t>1</w:t>
          </w:r>
          <w:r w:rsidRPr="00065BC3">
            <w:rPr>
              <w:rFonts w:ascii="Arial" w:eastAsia="Times New Roman" w:hAnsi="Arial" w:cs="Arial"/>
              <w:b/>
              <w:sz w:val="20"/>
              <w:szCs w:val="20"/>
            </w:rPr>
            <w:fldChar w:fldCharType="end"/>
          </w:r>
          <w:r w:rsidRPr="00065BC3">
            <w:rPr>
              <w:rFonts w:ascii="Arial" w:eastAsia="Times New Roman" w:hAnsi="Arial" w:cs="Arial"/>
              <w:b/>
              <w:sz w:val="20"/>
              <w:szCs w:val="20"/>
            </w:rPr>
            <w:t xml:space="preserve"> of </w:t>
          </w:r>
          <w:r w:rsidR="007D03AD">
            <w:rPr>
              <w:rFonts w:ascii="Arial" w:eastAsia="Times New Roman" w:hAnsi="Arial" w:cs="Arial"/>
              <w:b/>
              <w:noProof/>
              <w:sz w:val="20"/>
              <w:szCs w:val="20"/>
            </w:rPr>
            <w:fldChar w:fldCharType="begin"/>
          </w:r>
          <w:r w:rsidR="007D03AD">
            <w:rPr>
              <w:rFonts w:ascii="Arial" w:eastAsia="Times New Roman" w:hAnsi="Arial" w:cs="Arial"/>
              <w:b/>
              <w:noProof/>
              <w:sz w:val="20"/>
              <w:szCs w:val="20"/>
            </w:rPr>
            <w:instrText xml:space="preserve"> NUMPAGES  \* Arabic  \* MERGEFORMAT </w:instrText>
          </w:r>
          <w:r w:rsidR="007D03AD">
            <w:rPr>
              <w:rFonts w:ascii="Arial" w:eastAsia="Times New Roman" w:hAnsi="Arial" w:cs="Arial"/>
              <w:b/>
              <w:noProof/>
              <w:sz w:val="20"/>
              <w:szCs w:val="20"/>
            </w:rPr>
            <w:fldChar w:fldCharType="separate"/>
          </w:r>
          <w:r w:rsidR="00F73181" w:rsidRPr="00F73181">
            <w:rPr>
              <w:rFonts w:ascii="Arial" w:eastAsia="Times New Roman" w:hAnsi="Arial" w:cs="Arial"/>
              <w:b/>
              <w:noProof/>
              <w:sz w:val="20"/>
              <w:szCs w:val="20"/>
            </w:rPr>
            <w:t>1</w:t>
          </w:r>
          <w:r w:rsidR="007D03AD">
            <w:rPr>
              <w:rFonts w:ascii="Arial" w:eastAsia="Times New Roman" w:hAnsi="Arial" w:cs="Arial"/>
              <w:b/>
              <w:noProof/>
              <w:sz w:val="20"/>
              <w:szCs w:val="20"/>
            </w:rPr>
            <w:fldChar w:fldCharType="end"/>
          </w:r>
        </w:p>
      </w:tc>
      <w:tc>
        <w:tcPr>
          <w:tcW w:w="2466" w:type="dxa"/>
          <w:vMerge/>
          <w:vAlign w:val="center"/>
        </w:tcPr>
        <w:p w14:paraId="5AC5CFBD" w14:textId="77777777" w:rsidR="00B41B92" w:rsidRPr="00065BC3" w:rsidRDefault="00B41B92" w:rsidP="00B06C68">
          <w:pPr>
            <w:tabs>
              <w:tab w:val="left" w:pos="270"/>
              <w:tab w:val="center" w:pos="4153"/>
              <w:tab w:val="right" w:pos="8306"/>
            </w:tabs>
            <w:spacing w:after="0" w:line="240" w:lineRule="auto"/>
            <w:rPr>
              <w:rFonts w:ascii="Arial" w:eastAsia="Times New Roman" w:hAnsi="Arial" w:cs="Arial"/>
              <w:b/>
              <w:sz w:val="18"/>
              <w:szCs w:val="18"/>
            </w:rPr>
          </w:pPr>
        </w:p>
      </w:tc>
    </w:tr>
    <w:tr w:rsidR="00B41B92" w:rsidRPr="006365B0" w14:paraId="53D68732" w14:textId="77777777" w:rsidTr="00B06C68">
      <w:trPr>
        <w:trHeight w:val="263"/>
      </w:trPr>
      <w:tc>
        <w:tcPr>
          <w:tcW w:w="10476" w:type="dxa"/>
          <w:gridSpan w:val="4"/>
          <w:vAlign w:val="center"/>
        </w:tcPr>
        <w:p w14:paraId="59C774BE" w14:textId="77777777" w:rsidR="00B41B92" w:rsidRPr="006365B0" w:rsidRDefault="00B41B92" w:rsidP="00B06C68">
          <w:pPr>
            <w:tabs>
              <w:tab w:val="left" w:pos="270"/>
              <w:tab w:val="center" w:pos="4153"/>
              <w:tab w:val="right" w:pos="8306"/>
            </w:tabs>
            <w:spacing w:after="0" w:line="240" w:lineRule="auto"/>
            <w:jc w:val="center"/>
            <w:rPr>
              <w:rFonts w:ascii="Arial" w:eastAsia="Times New Roman" w:hAnsi="Arial" w:cs="Arial"/>
              <w:b/>
              <w:color w:val="FF0000"/>
              <w:sz w:val="18"/>
              <w:szCs w:val="18"/>
            </w:rPr>
          </w:pPr>
          <w:r>
            <w:rPr>
              <w:rFonts w:ascii="Arial" w:eastAsia="Times New Roman" w:hAnsi="Arial" w:cs="Arial"/>
              <w:b/>
              <w:color w:val="FF0000"/>
              <w:sz w:val="18"/>
              <w:szCs w:val="18"/>
            </w:rPr>
            <w:t>CONTROLLED DOCUMENT</w:t>
          </w:r>
        </w:p>
      </w:tc>
    </w:tr>
  </w:tbl>
  <w:p w14:paraId="680D71C3" w14:textId="77777777" w:rsidR="00B41B92" w:rsidRDefault="00B41B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1052E"/>
    <w:multiLevelType w:val="hybridMultilevel"/>
    <w:tmpl w:val="F41A541C"/>
    <w:lvl w:ilvl="0" w:tplc="84AEB1A8">
      <w:numFmt w:val="bullet"/>
      <w:lvlText w:val=""/>
      <w:lvlJc w:val="left"/>
      <w:pPr>
        <w:ind w:left="720" w:hanging="360"/>
      </w:pPr>
      <w:rPr>
        <w:rFonts w:ascii="Symbol" w:eastAsia="Times New Roman" w:hAnsi="Symbol" w:cs="Tahoma"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2773BC"/>
    <w:multiLevelType w:val="hybridMultilevel"/>
    <w:tmpl w:val="0446689E"/>
    <w:lvl w:ilvl="0" w:tplc="9D22B9D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6703A3"/>
    <w:multiLevelType w:val="hybridMultilevel"/>
    <w:tmpl w:val="58146836"/>
    <w:lvl w:ilvl="0" w:tplc="D4D8011E">
      <w:start w:val="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4E3A00"/>
    <w:multiLevelType w:val="hybridMultilevel"/>
    <w:tmpl w:val="4D02D078"/>
    <w:lvl w:ilvl="0" w:tplc="B4525132">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AB0B04"/>
    <w:multiLevelType w:val="hybridMultilevel"/>
    <w:tmpl w:val="E0301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3B7144"/>
    <w:multiLevelType w:val="multilevel"/>
    <w:tmpl w:val="346EA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DF0ED1"/>
    <w:multiLevelType w:val="hybridMultilevel"/>
    <w:tmpl w:val="F9640B02"/>
    <w:lvl w:ilvl="0" w:tplc="8454210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FF7A69"/>
    <w:multiLevelType w:val="multilevel"/>
    <w:tmpl w:val="56F0CA74"/>
    <w:lvl w:ilvl="0">
      <w:start w:val="1"/>
      <w:numFmt w:val="decimal"/>
      <w:lvlText w:val="%1."/>
      <w:lvlJc w:val="left"/>
      <w:pPr>
        <w:tabs>
          <w:tab w:val="num" w:pos="720"/>
        </w:tabs>
        <w:ind w:left="720" w:hanging="360"/>
      </w:pPr>
      <w:rPr>
        <w:rFonts w:asciiTheme="minorHAnsi" w:eastAsia="Times New Roman" w:hAnsiTheme="minorHAnsi"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C6673FE"/>
    <w:multiLevelType w:val="multilevel"/>
    <w:tmpl w:val="37729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C7283E"/>
    <w:multiLevelType w:val="hybridMultilevel"/>
    <w:tmpl w:val="4ED23BC4"/>
    <w:lvl w:ilvl="0" w:tplc="EBBE69C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ED07B42"/>
    <w:multiLevelType w:val="multilevel"/>
    <w:tmpl w:val="C6A06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59D6920"/>
    <w:multiLevelType w:val="multilevel"/>
    <w:tmpl w:val="5950BAAE"/>
    <w:lvl w:ilvl="0">
      <w:numFmt w:val="bullet"/>
      <w:lvlText w:val="-"/>
      <w:lvlJc w:val="left"/>
      <w:pPr>
        <w:ind w:left="405" w:hanging="360"/>
      </w:pPr>
      <w:rPr>
        <w:rFonts w:ascii="Calibri" w:eastAsia="Calibri" w:hAnsi="Calibri" w:cs="Times New Roman"/>
      </w:rPr>
    </w:lvl>
    <w:lvl w:ilvl="1">
      <w:numFmt w:val="bullet"/>
      <w:lvlText w:val="o"/>
      <w:lvlJc w:val="left"/>
      <w:pPr>
        <w:ind w:left="1125" w:hanging="360"/>
      </w:pPr>
      <w:rPr>
        <w:rFonts w:ascii="Courier New" w:hAnsi="Courier New" w:cs="Courier New"/>
      </w:rPr>
    </w:lvl>
    <w:lvl w:ilvl="2">
      <w:numFmt w:val="bullet"/>
      <w:lvlText w:val=""/>
      <w:lvlJc w:val="left"/>
      <w:pPr>
        <w:ind w:left="1845" w:hanging="360"/>
      </w:pPr>
      <w:rPr>
        <w:rFonts w:ascii="Wingdings" w:hAnsi="Wingdings"/>
      </w:rPr>
    </w:lvl>
    <w:lvl w:ilvl="3">
      <w:numFmt w:val="bullet"/>
      <w:lvlText w:val=""/>
      <w:lvlJc w:val="left"/>
      <w:pPr>
        <w:ind w:left="2565" w:hanging="360"/>
      </w:pPr>
      <w:rPr>
        <w:rFonts w:ascii="Symbol" w:hAnsi="Symbol"/>
      </w:rPr>
    </w:lvl>
    <w:lvl w:ilvl="4">
      <w:numFmt w:val="bullet"/>
      <w:lvlText w:val="o"/>
      <w:lvlJc w:val="left"/>
      <w:pPr>
        <w:ind w:left="3285" w:hanging="360"/>
      </w:pPr>
      <w:rPr>
        <w:rFonts w:ascii="Courier New" w:hAnsi="Courier New" w:cs="Courier New"/>
      </w:rPr>
    </w:lvl>
    <w:lvl w:ilvl="5">
      <w:numFmt w:val="bullet"/>
      <w:lvlText w:val=""/>
      <w:lvlJc w:val="left"/>
      <w:pPr>
        <w:ind w:left="4005" w:hanging="360"/>
      </w:pPr>
      <w:rPr>
        <w:rFonts w:ascii="Wingdings" w:hAnsi="Wingdings"/>
      </w:rPr>
    </w:lvl>
    <w:lvl w:ilvl="6">
      <w:numFmt w:val="bullet"/>
      <w:lvlText w:val=""/>
      <w:lvlJc w:val="left"/>
      <w:pPr>
        <w:ind w:left="4725" w:hanging="360"/>
      </w:pPr>
      <w:rPr>
        <w:rFonts w:ascii="Symbol" w:hAnsi="Symbol"/>
      </w:rPr>
    </w:lvl>
    <w:lvl w:ilvl="7">
      <w:numFmt w:val="bullet"/>
      <w:lvlText w:val="o"/>
      <w:lvlJc w:val="left"/>
      <w:pPr>
        <w:ind w:left="5445" w:hanging="360"/>
      </w:pPr>
      <w:rPr>
        <w:rFonts w:ascii="Courier New" w:hAnsi="Courier New" w:cs="Courier New"/>
      </w:rPr>
    </w:lvl>
    <w:lvl w:ilvl="8">
      <w:numFmt w:val="bullet"/>
      <w:lvlText w:val=""/>
      <w:lvlJc w:val="left"/>
      <w:pPr>
        <w:ind w:left="6165" w:hanging="360"/>
      </w:pPr>
      <w:rPr>
        <w:rFonts w:ascii="Wingdings" w:hAnsi="Wingdings"/>
      </w:rPr>
    </w:lvl>
  </w:abstractNum>
  <w:abstractNum w:abstractNumId="12" w15:restartNumberingAfterBreak="0">
    <w:nsid w:val="7EC93816"/>
    <w:multiLevelType w:val="hybridMultilevel"/>
    <w:tmpl w:val="3F12ED9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14803442">
    <w:abstractNumId w:val="3"/>
  </w:num>
  <w:num w:numId="2" w16cid:durableId="1023361255">
    <w:abstractNumId w:val="2"/>
  </w:num>
  <w:num w:numId="3" w16cid:durableId="1322054">
    <w:abstractNumId w:val="1"/>
  </w:num>
  <w:num w:numId="4" w16cid:durableId="590970801">
    <w:abstractNumId w:val="9"/>
  </w:num>
  <w:num w:numId="5" w16cid:durableId="113599980">
    <w:abstractNumId w:val="6"/>
  </w:num>
  <w:num w:numId="6" w16cid:durableId="979726232">
    <w:abstractNumId w:val="7"/>
  </w:num>
  <w:num w:numId="7" w16cid:durableId="172651174">
    <w:abstractNumId w:val="10"/>
  </w:num>
  <w:num w:numId="8" w16cid:durableId="1387485745">
    <w:abstractNumId w:val="0"/>
  </w:num>
  <w:num w:numId="9" w16cid:durableId="1607038510">
    <w:abstractNumId w:val="4"/>
  </w:num>
  <w:num w:numId="10" w16cid:durableId="245918440">
    <w:abstractNumId w:val="12"/>
  </w:num>
  <w:num w:numId="11" w16cid:durableId="1952778962">
    <w:abstractNumId w:val="11"/>
  </w:num>
  <w:num w:numId="12" w16cid:durableId="506331601">
    <w:abstractNumId w:val="5"/>
  </w:num>
  <w:num w:numId="13" w16cid:durableId="45679726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08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625"/>
    <w:rsid w:val="0002497E"/>
    <w:rsid w:val="000B7A5F"/>
    <w:rsid w:val="000C11BA"/>
    <w:rsid w:val="000E6827"/>
    <w:rsid w:val="0019103C"/>
    <w:rsid w:val="001D34EB"/>
    <w:rsid w:val="001D40AF"/>
    <w:rsid w:val="00204929"/>
    <w:rsid w:val="00207632"/>
    <w:rsid w:val="00215DF6"/>
    <w:rsid w:val="00222D04"/>
    <w:rsid w:val="00237B24"/>
    <w:rsid w:val="002737A0"/>
    <w:rsid w:val="002800F9"/>
    <w:rsid w:val="0028684A"/>
    <w:rsid w:val="002D449E"/>
    <w:rsid w:val="002E1B76"/>
    <w:rsid w:val="002F460B"/>
    <w:rsid w:val="00361971"/>
    <w:rsid w:val="00366A9B"/>
    <w:rsid w:val="003721A7"/>
    <w:rsid w:val="0038076E"/>
    <w:rsid w:val="003809F7"/>
    <w:rsid w:val="00387B74"/>
    <w:rsid w:val="00387D24"/>
    <w:rsid w:val="00396C1C"/>
    <w:rsid w:val="00441935"/>
    <w:rsid w:val="004520CB"/>
    <w:rsid w:val="0047358E"/>
    <w:rsid w:val="004C05A1"/>
    <w:rsid w:val="004C2F96"/>
    <w:rsid w:val="004C61E7"/>
    <w:rsid w:val="004E5D83"/>
    <w:rsid w:val="004F4366"/>
    <w:rsid w:val="004F6C6F"/>
    <w:rsid w:val="0050692C"/>
    <w:rsid w:val="00526174"/>
    <w:rsid w:val="0055591C"/>
    <w:rsid w:val="005C243A"/>
    <w:rsid w:val="005C28E5"/>
    <w:rsid w:val="006373E1"/>
    <w:rsid w:val="00637542"/>
    <w:rsid w:val="00662FCE"/>
    <w:rsid w:val="00672F93"/>
    <w:rsid w:val="00673834"/>
    <w:rsid w:val="0069176F"/>
    <w:rsid w:val="006C2A1F"/>
    <w:rsid w:val="006D7139"/>
    <w:rsid w:val="006D76A5"/>
    <w:rsid w:val="006E0DD2"/>
    <w:rsid w:val="006E4ACC"/>
    <w:rsid w:val="0072515D"/>
    <w:rsid w:val="00737A6D"/>
    <w:rsid w:val="00741898"/>
    <w:rsid w:val="00750129"/>
    <w:rsid w:val="00764EC1"/>
    <w:rsid w:val="00774C4C"/>
    <w:rsid w:val="00784FCF"/>
    <w:rsid w:val="007A7D31"/>
    <w:rsid w:val="007D03AD"/>
    <w:rsid w:val="007D0501"/>
    <w:rsid w:val="007D5F99"/>
    <w:rsid w:val="007F16A0"/>
    <w:rsid w:val="00803005"/>
    <w:rsid w:val="0087692A"/>
    <w:rsid w:val="00885264"/>
    <w:rsid w:val="008B42A2"/>
    <w:rsid w:val="008B65C9"/>
    <w:rsid w:val="008C32D0"/>
    <w:rsid w:val="008D4D7E"/>
    <w:rsid w:val="008E0036"/>
    <w:rsid w:val="009009C1"/>
    <w:rsid w:val="00915F91"/>
    <w:rsid w:val="009218FA"/>
    <w:rsid w:val="00932760"/>
    <w:rsid w:val="00972145"/>
    <w:rsid w:val="009A533D"/>
    <w:rsid w:val="009B6FE4"/>
    <w:rsid w:val="009C1A94"/>
    <w:rsid w:val="00A0434C"/>
    <w:rsid w:val="00A13FBD"/>
    <w:rsid w:val="00A22DC8"/>
    <w:rsid w:val="00A25537"/>
    <w:rsid w:val="00A27385"/>
    <w:rsid w:val="00A33503"/>
    <w:rsid w:val="00A60EC2"/>
    <w:rsid w:val="00AA287E"/>
    <w:rsid w:val="00B06C68"/>
    <w:rsid w:val="00B074FA"/>
    <w:rsid w:val="00B276AE"/>
    <w:rsid w:val="00B41B92"/>
    <w:rsid w:val="00B837D7"/>
    <w:rsid w:val="00B861D6"/>
    <w:rsid w:val="00BA7CB6"/>
    <w:rsid w:val="00BF2459"/>
    <w:rsid w:val="00C1271F"/>
    <w:rsid w:val="00C25E56"/>
    <w:rsid w:val="00C3165E"/>
    <w:rsid w:val="00C84FDD"/>
    <w:rsid w:val="00CA1210"/>
    <w:rsid w:val="00CA36C4"/>
    <w:rsid w:val="00D03CB4"/>
    <w:rsid w:val="00D17F28"/>
    <w:rsid w:val="00D26435"/>
    <w:rsid w:val="00D41E83"/>
    <w:rsid w:val="00D90300"/>
    <w:rsid w:val="00DD3EDC"/>
    <w:rsid w:val="00DE2625"/>
    <w:rsid w:val="00E03695"/>
    <w:rsid w:val="00E03A63"/>
    <w:rsid w:val="00E63021"/>
    <w:rsid w:val="00E72E7B"/>
    <w:rsid w:val="00EA5441"/>
    <w:rsid w:val="00EE52E7"/>
    <w:rsid w:val="00F00449"/>
    <w:rsid w:val="00F368D0"/>
    <w:rsid w:val="00F73181"/>
    <w:rsid w:val="00FA3EE7"/>
    <w:rsid w:val="00FC3B17"/>
    <w:rsid w:val="00FE56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0897"/>
    <o:shapelayout v:ext="edit">
      <o:idmap v:ext="edit" data="1"/>
    </o:shapelayout>
  </w:shapeDefaults>
  <w:decimalSymbol w:val="."/>
  <w:listSeparator w:val=","/>
  <w14:docId w14:val="7783A88A"/>
  <w15:docId w15:val="{32DB1F97-B3B0-4049-8E19-80BE97C05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26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2625"/>
  </w:style>
  <w:style w:type="paragraph" w:styleId="Footer">
    <w:name w:val="footer"/>
    <w:basedOn w:val="Normal"/>
    <w:link w:val="FooterChar"/>
    <w:uiPriority w:val="99"/>
    <w:unhideWhenUsed/>
    <w:rsid w:val="00DE26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2625"/>
  </w:style>
  <w:style w:type="paragraph" w:styleId="BalloonText">
    <w:name w:val="Balloon Text"/>
    <w:basedOn w:val="Normal"/>
    <w:link w:val="BalloonTextChar"/>
    <w:uiPriority w:val="99"/>
    <w:semiHidden/>
    <w:unhideWhenUsed/>
    <w:rsid w:val="00DE26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2625"/>
    <w:rPr>
      <w:rFonts w:ascii="Tahoma" w:hAnsi="Tahoma" w:cs="Tahoma"/>
      <w:sz w:val="16"/>
      <w:szCs w:val="16"/>
    </w:rPr>
  </w:style>
  <w:style w:type="table" w:styleId="TableGrid">
    <w:name w:val="Table Grid"/>
    <w:basedOn w:val="TableNormal"/>
    <w:uiPriority w:val="59"/>
    <w:rsid w:val="00DE26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8B65C9"/>
    <w:pPr>
      <w:ind w:left="720"/>
      <w:contextualSpacing/>
    </w:pPr>
  </w:style>
  <w:style w:type="paragraph" w:styleId="NormalWeb">
    <w:name w:val="Normal (Web)"/>
    <w:basedOn w:val="Normal"/>
    <w:uiPriority w:val="99"/>
    <w:unhideWhenUsed/>
    <w:rsid w:val="0052617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26174"/>
    <w:rPr>
      <w:color w:val="0000FF"/>
      <w:u w:val="single"/>
    </w:rPr>
  </w:style>
  <w:style w:type="character" w:styleId="Strong">
    <w:name w:val="Strong"/>
    <w:basedOn w:val="DefaultParagraphFont"/>
    <w:uiPriority w:val="22"/>
    <w:qFormat/>
    <w:rsid w:val="00526174"/>
    <w:rPr>
      <w:b/>
      <w:bCs/>
    </w:rPr>
  </w:style>
  <w:style w:type="paragraph" w:customStyle="1" w:styleId="style4">
    <w:name w:val="style4"/>
    <w:basedOn w:val="Normal"/>
    <w:rsid w:val="00526174"/>
    <w:pPr>
      <w:spacing w:before="100" w:beforeAutospacing="1" w:after="100" w:afterAutospacing="1" w:line="240" w:lineRule="auto"/>
    </w:pPr>
    <w:rPr>
      <w:rFonts w:ascii="Times New Roman" w:eastAsia="Times New Roman" w:hAnsi="Times New Roman" w:cs="Times New Roman"/>
      <w:color w:val="000000"/>
      <w:sz w:val="18"/>
      <w:szCs w:val="18"/>
    </w:rPr>
  </w:style>
  <w:style w:type="character" w:customStyle="1" w:styleId="style71">
    <w:name w:val="style71"/>
    <w:basedOn w:val="DefaultParagraphFont"/>
    <w:rsid w:val="00526174"/>
    <w:rPr>
      <w:b/>
      <w:bCs/>
      <w:color w:val="000000"/>
      <w:sz w:val="18"/>
      <w:szCs w:val="18"/>
    </w:rPr>
  </w:style>
  <w:style w:type="paragraph" w:styleId="NoSpacing">
    <w:name w:val="No Spacing"/>
    <w:uiPriority w:val="1"/>
    <w:qFormat/>
    <w:rsid w:val="009A533D"/>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5448567">
      <w:bodyDiv w:val="1"/>
      <w:marLeft w:val="0"/>
      <w:marRight w:val="0"/>
      <w:marTop w:val="0"/>
      <w:marBottom w:val="0"/>
      <w:divBdr>
        <w:top w:val="none" w:sz="0" w:space="0" w:color="auto"/>
        <w:left w:val="none" w:sz="0" w:space="0" w:color="auto"/>
        <w:bottom w:val="none" w:sz="0" w:space="0" w:color="auto"/>
        <w:right w:val="none" w:sz="0" w:space="0" w:color="auto"/>
      </w:divBdr>
    </w:div>
    <w:div w:id="1917781512">
      <w:bodyDiv w:val="1"/>
      <w:marLeft w:val="0"/>
      <w:marRight w:val="0"/>
      <w:marTop w:val="0"/>
      <w:marBottom w:val="0"/>
      <w:divBdr>
        <w:top w:val="none" w:sz="0" w:space="0" w:color="auto"/>
        <w:left w:val="none" w:sz="0" w:space="0" w:color="auto"/>
        <w:bottom w:val="none" w:sz="0" w:space="0" w:color="auto"/>
        <w:right w:val="none" w:sz="0" w:space="0" w:color="auto"/>
      </w:divBdr>
      <w:divsChild>
        <w:div w:id="1934819951">
          <w:marLeft w:val="0"/>
          <w:marRight w:val="0"/>
          <w:marTop w:val="0"/>
          <w:marBottom w:val="0"/>
          <w:divBdr>
            <w:top w:val="none" w:sz="0" w:space="0" w:color="auto"/>
            <w:left w:val="none" w:sz="0" w:space="0" w:color="auto"/>
            <w:bottom w:val="none" w:sz="0" w:space="0" w:color="auto"/>
            <w:right w:val="none" w:sz="0" w:space="0" w:color="auto"/>
          </w:divBdr>
          <w:divsChild>
            <w:div w:id="1877814875">
              <w:marLeft w:val="0"/>
              <w:marRight w:val="0"/>
              <w:marTop w:val="0"/>
              <w:marBottom w:val="0"/>
              <w:divBdr>
                <w:top w:val="none" w:sz="0" w:space="0" w:color="auto"/>
                <w:left w:val="none" w:sz="0" w:space="0" w:color="auto"/>
                <w:bottom w:val="none" w:sz="0" w:space="0" w:color="auto"/>
                <w:right w:val="none" w:sz="0" w:space="0" w:color="auto"/>
              </w:divBdr>
              <w:divsChild>
                <w:div w:id="905190231">
                  <w:marLeft w:val="0"/>
                  <w:marRight w:val="0"/>
                  <w:marTop w:val="0"/>
                  <w:marBottom w:val="0"/>
                  <w:divBdr>
                    <w:top w:val="none" w:sz="0" w:space="0" w:color="auto"/>
                    <w:left w:val="none" w:sz="0" w:space="0" w:color="auto"/>
                    <w:bottom w:val="none" w:sz="0" w:space="0" w:color="auto"/>
                    <w:right w:val="none" w:sz="0" w:space="0" w:color="auto"/>
                  </w:divBdr>
                  <w:divsChild>
                    <w:div w:id="1871141886">
                      <w:marLeft w:val="0"/>
                      <w:marRight w:val="0"/>
                      <w:marTop w:val="0"/>
                      <w:marBottom w:val="0"/>
                      <w:divBdr>
                        <w:top w:val="none" w:sz="0" w:space="0" w:color="auto"/>
                        <w:left w:val="none" w:sz="0" w:space="0" w:color="auto"/>
                        <w:bottom w:val="none" w:sz="0" w:space="0" w:color="auto"/>
                        <w:right w:val="none" w:sz="0" w:space="0" w:color="auto"/>
                      </w:divBdr>
                      <w:divsChild>
                        <w:div w:id="1161773027">
                          <w:marLeft w:val="0"/>
                          <w:marRight w:val="0"/>
                          <w:marTop w:val="0"/>
                          <w:marBottom w:val="0"/>
                          <w:divBdr>
                            <w:top w:val="none" w:sz="0" w:space="0" w:color="auto"/>
                            <w:left w:val="none" w:sz="0" w:space="0" w:color="auto"/>
                            <w:bottom w:val="none" w:sz="0" w:space="0" w:color="auto"/>
                            <w:right w:val="none" w:sz="0" w:space="0" w:color="auto"/>
                          </w:divBdr>
                          <w:divsChild>
                            <w:div w:id="114439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e1b05d6-617b-426d-ac59-c86d825bbc74">
      <Terms xmlns="http://schemas.microsoft.com/office/infopath/2007/PartnerControls"/>
    </lcf76f155ced4ddcb4097134ff3c332f>
    <TaxCatchAll xmlns="b0f2cde6-bece-4f64-a0ad-a5a04cb4c57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2D7EB498631141A9FA1B66C6FB19E8" ma:contentTypeVersion="15" ma:contentTypeDescription="Create a new document." ma:contentTypeScope="" ma:versionID="0f681f510f788181111a461db87a223f">
  <xsd:schema xmlns:xsd="http://www.w3.org/2001/XMLSchema" xmlns:xs="http://www.w3.org/2001/XMLSchema" xmlns:p="http://schemas.microsoft.com/office/2006/metadata/properties" xmlns:ns2="be1b05d6-617b-426d-ac59-c86d825bbc74" xmlns:ns3="b0f2cde6-bece-4f64-a0ad-a5a04cb4c57d" targetNamespace="http://schemas.microsoft.com/office/2006/metadata/properties" ma:root="true" ma:fieldsID="c4cfda7426793091006caa5f398553cb" ns2:_="" ns3:_="">
    <xsd:import namespace="be1b05d6-617b-426d-ac59-c86d825bbc74"/>
    <xsd:import namespace="b0f2cde6-bece-4f64-a0ad-a5a04cb4c57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1b05d6-617b-426d-ac59-c86d825bbc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fd68f57-2aea-481f-85b8-ddd85997f0b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0f2cde6-bece-4f64-a0ad-a5a04cb4c57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80290398-23e4-4429-8552-203c4a6a0d63}" ma:internalName="TaxCatchAll" ma:showField="CatchAllData" ma:web="b0f2cde6-bece-4f64-a0ad-a5a04cb4c5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F3D7E1-0559-48B5-83D9-1DE3EDB3156F}">
  <ds:schemaRefs>
    <ds:schemaRef ds:uri="http://www.w3.org/XML/1998/namespace"/>
    <ds:schemaRef ds:uri="http://schemas.openxmlformats.org/package/2006/metadata/core-properties"/>
    <ds:schemaRef ds:uri="http://schemas.microsoft.com/office/2006/metadata/properties"/>
    <ds:schemaRef ds:uri="http://purl.org/dc/terms/"/>
    <ds:schemaRef ds:uri="http://purl.org/dc/elements/1.1/"/>
    <ds:schemaRef ds:uri="http://purl.org/dc/dcmitype/"/>
    <ds:schemaRef ds:uri="http://schemas.microsoft.com/office/2006/documentManagement/types"/>
    <ds:schemaRef ds:uri="http://schemas.microsoft.com/office/infopath/2007/PartnerControls"/>
    <ds:schemaRef ds:uri="c6d6a441-477d-477d-b5de-78591ca3a668"/>
    <ds:schemaRef ds:uri="fb5acbf1-4a84-468f-b00e-cf6ebc9a9778"/>
    <ds:schemaRef ds:uri="be1b05d6-617b-426d-ac59-c86d825bbc74"/>
    <ds:schemaRef ds:uri="b0f2cde6-bece-4f64-a0ad-a5a04cb4c57d"/>
  </ds:schemaRefs>
</ds:datastoreItem>
</file>

<file path=customXml/itemProps2.xml><?xml version="1.0" encoding="utf-8"?>
<ds:datastoreItem xmlns:ds="http://schemas.openxmlformats.org/officeDocument/2006/customXml" ds:itemID="{DD4DA2FE-C912-46D4-A616-36400DEF2D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1b05d6-617b-426d-ac59-c86d825bbc74"/>
    <ds:schemaRef ds:uri="b0f2cde6-bece-4f64-a0ad-a5a04cb4c5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C11039-290D-489B-BBD6-45549756B4F9}">
  <ds:schemaRefs>
    <ds:schemaRef ds:uri="http://schemas.openxmlformats.org/officeDocument/2006/bibliography"/>
  </ds:schemaRefs>
</ds:datastoreItem>
</file>

<file path=customXml/itemProps4.xml><?xml version="1.0" encoding="utf-8"?>
<ds:datastoreItem xmlns:ds="http://schemas.openxmlformats.org/officeDocument/2006/customXml" ds:itemID="{62C617E6-82DF-4866-8358-BE137ED957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287</Words>
  <Characters>1639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Rhonda Montgomery</dc:creator>
  <cp:lastModifiedBy>Esther PJD Safety Supplies</cp:lastModifiedBy>
  <cp:revision>3</cp:revision>
  <cp:lastPrinted>2015-12-17T10:41:00Z</cp:lastPrinted>
  <dcterms:created xsi:type="dcterms:W3CDTF">2025-09-02T12:16:00Z</dcterms:created>
  <dcterms:modified xsi:type="dcterms:W3CDTF">2025-09-29T13:29:00Z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0x010100F72D7EB498631141A9FA1B66C6FB19E8</vt:lpwstr>
  </property>
  <property fmtid="{D5CDD505-2E9C-101B-9397-08002B2CF9AE}" pid="3" name="MediaServiceImageTags">
    <vt:lpwstr/>
  </property>
</Properties>
</file>