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0DE6" w14:textId="0164B17D" w:rsidR="00376B71" w:rsidRPr="00376B71" w:rsidRDefault="00BC3D51" w:rsidP="00376B71">
      <w:pPr>
        <w:rPr>
          <w:noProof/>
          <w:sz w:val="20"/>
          <w:szCs w:val="20"/>
        </w:rPr>
      </w:pPr>
      <w:r>
        <w:rPr>
          <w:rFonts w:cstheme="minorHAnsi"/>
          <w:noProof/>
          <w:sz w:val="20"/>
          <w:szCs w:val="20"/>
        </w:rPr>
        <mc:AlternateContent>
          <mc:Choice Requires="wps">
            <w:drawing>
              <wp:anchor distT="0" distB="0" distL="114300" distR="114300" simplePos="0" relativeHeight="251660288" behindDoc="0" locked="0" layoutInCell="1" allowOverlap="1" wp14:anchorId="0DF17211" wp14:editId="6132DAB9">
                <wp:simplePos x="0" y="0"/>
                <wp:positionH relativeFrom="column">
                  <wp:posOffset>-771525</wp:posOffset>
                </wp:positionH>
                <wp:positionV relativeFrom="paragraph">
                  <wp:posOffset>-92710</wp:posOffset>
                </wp:positionV>
                <wp:extent cx="66294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629400" cy="0"/>
                        </a:xfrm>
                        <a:prstGeom prst="line">
                          <a:avLst/>
                        </a:prstGeom>
                        <a:ln w="381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w:pict w14:anchorId="1FB86CE9">
              <v:line id="Straight Connector 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0ad47 [3209]" strokeweight="3pt" from="-60.75pt,-7.3pt" to="461.25pt,-7.3pt" w14:anchorId="3BF062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">
                <v:stroke joinstyle="miter"/>
              </v:line>
            </w:pict>
          </mc:Fallback>
        </mc:AlternateContent>
      </w:r>
      <w:r w:rsidR="00EB7C1C">
        <w:rPr>
          <w:rFonts w:ascii="Leelawadee" w:hAnsi="Leelawadee" w:cs="Leelawadee"/>
          <w:b/>
          <w:noProof/>
          <w:color w:val="7B7B7B" w:themeColor="accent3" w:themeShade="BF"/>
          <w:sz w:val="40"/>
        </w:rPr>
        <mc:AlternateContent>
          <mc:Choice Requires="wps">
            <w:drawing>
              <wp:anchor distT="0" distB="0" distL="114300" distR="114300" simplePos="0" relativeHeight="251659264" behindDoc="0" locked="0" layoutInCell="1" allowOverlap="1" wp14:anchorId="5B9CB30B" wp14:editId="08A7B20E">
                <wp:simplePos x="0" y="0"/>
                <wp:positionH relativeFrom="column">
                  <wp:posOffset>-133351</wp:posOffset>
                </wp:positionH>
                <wp:positionV relativeFrom="paragraph">
                  <wp:posOffset>-895350</wp:posOffset>
                </wp:positionV>
                <wp:extent cx="45719" cy="10706100"/>
                <wp:effectExtent l="19050" t="19050" r="31115"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0706100"/>
                        </a:xfrm>
                        <a:prstGeom prst="straightConnector1">
                          <a:avLst/>
                        </a:prstGeom>
                        <a:noFill/>
                        <a:ln w="38100">
                          <a:solidFill>
                            <a:schemeClr val="accent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C79529E">
              <v:shapetype id="_x0000_t32" coordsize="21600,21600" o:oned="t" filled="f" o:spt="32" path="m,l21600,21600e" w14:anchorId="38B9BA55">
                <v:path fillok="f" arrowok="t" o:connecttype="none"/>
                <o:lock v:ext="edit" shapetype="t"/>
              </v:shapetype>
              <v:shape id="AutoShape 2" style="position:absolute;margin-left:-10.5pt;margin-top:-70.5pt;width:3.6pt;height:8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0ad47 [3209]"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"/>
            </w:pict>
          </mc:Fallback>
        </mc:AlternateContent>
      </w:r>
      <w:r w:rsidR="004E7438" w:rsidRPr="10B515FA">
        <w:rPr>
          <w:noProof/>
          <w:sz w:val="20"/>
          <w:szCs w:val="20"/>
        </w:rPr>
        <w:t>P</w:t>
      </w:r>
      <w:r w:rsidR="00376B71" w:rsidRPr="00376B71">
        <w:rPr>
          <w:rFonts w:ascii="Times New Roman" w:eastAsia="Times New Roman" w:hAnsi="Times New Roman" w:cs="Times New Roman"/>
          <w:sz w:val="24"/>
          <w:szCs w:val="24"/>
        </w:rPr>
        <w:t xml:space="preserve"> </w:t>
      </w:r>
      <w:r w:rsidR="00376B71" w:rsidRPr="00376B71">
        <w:rPr>
          <w:noProof/>
          <w:sz w:val="20"/>
          <w:szCs w:val="20"/>
        </w:rPr>
        <w:t>PJD Safety Supplies is committed to the effective management of occupational health and safety across all areas of our business. We will provide the necessary resources to ensure that our employees, contractors, visitors, and anyone else affected by our operations do not suffer injury or ill health.</w:t>
      </w:r>
    </w:p>
    <w:p w14:paraId="29392F1C" w14:textId="77777777" w:rsidR="00376B71" w:rsidRPr="00376B71" w:rsidRDefault="00376B71" w:rsidP="00376B71">
      <w:pPr>
        <w:rPr>
          <w:noProof/>
          <w:sz w:val="20"/>
          <w:szCs w:val="20"/>
        </w:rPr>
      </w:pPr>
      <w:r w:rsidRPr="00376B71">
        <w:rPr>
          <w:noProof/>
          <w:sz w:val="20"/>
          <w:szCs w:val="20"/>
        </w:rPr>
        <w:t>To achieve this, employees, contractors, and management are expected to carry out all work activities safely, every day, and in every task — protecting their own safety and the safety of others.</w:t>
      </w:r>
    </w:p>
    <w:p w14:paraId="11D11712" w14:textId="77777777" w:rsidR="00376B71" w:rsidRPr="00376B71" w:rsidRDefault="00376B71" w:rsidP="00376B71">
      <w:pPr>
        <w:rPr>
          <w:noProof/>
          <w:sz w:val="20"/>
          <w:szCs w:val="20"/>
        </w:rPr>
      </w:pPr>
      <w:r w:rsidRPr="00376B71">
        <w:rPr>
          <w:noProof/>
          <w:sz w:val="20"/>
          <w:szCs w:val="20"/>
        </w:rPr>
        <w:t>Everyone has a responsibility to cooperate and work as a team to identify hazards, assess risks, and implement effective control measures to eliminate or reduce those risks before they cause harm. By working together, we will continually improve our health and safety standards and provide a safer and healthier workplace for all.</w:t>
      </w:r>
    </w:p>
    <w:p w14:paraId="1D6ED579" w14:textId="77777777" w:rsidR="00376B71" w:rsidRPr="00376B71" w:rsidRDefault="00376B71" w:rsidP="00376B71">
      <w:pPr>
        <w:rPr>
          <w:b/>
          <w:bCs/>
          <w:noProof/>
          <w:sz w:val="20"/>
          <w:szCs w:val="20"/>
        </w:rPr>
      </w:pPr>
      <w:r w:rsidRPr="00376B71">
        <w:rPr>
          <w:b/>
          <w:bCs/>
          <w:noProof/>
          <w:sz w:val="20"/>
          <w:szCs w:val="20"/>
        </w:rPr>
        <w:t>PJD Safety Supplies is committed to:</w:t>
      </w:r>
    </w:p>
    <w:p w14:paraId="400044D2" w14:textId="77777777" w:rsidR="00376B71" w:rsidRPr="00376B71" w:rsidRDefault="00376B71" w:rsidP="00376B71">
      <w:pPr>
        <w:numPr>
          <w:ilvl w:val="0"/>
          <w:numId w:val="3"/>
        </w:numPr>
        <w:rPr>
          <w:noProof/>
          <w:sz w:val="20"/>
          <w:szCs w:val="20"/>
        </w:rPr>
      </w:pPr>
      <w:r w:rsidRPr="00376B71">
        <w:rPr>
          <w:noProof/>
          <w:sz w:val="20"/>
          <w:szCs w:val="20"/>
        </w:rPr>
        <w:t xml:space="preserve">Promoting high standards of health, safety, and welfare that comply with the </w:t>
      </w:r>
      <w:r w:rsidRPr="00376B71">
        <w:rPr>
          <w:b/>
          <w:bCs/>
          <w:noProof/>
          <w:sz w:val="20"/>
          <w:szCs w:val="20"/>
        </w:rPr>
        <w:t>Health and Safety at Work (Northern Ireland) Order 1978 as amended in 1998</w:t>
      </w:r>
      <w:r w:rsidRPr="00376B71">
        <w:rPr>
          <w:noProof/>
          <w:sz w:val="20"/>
          <w:szCs w:val="20"/>
        </w:rPr>
        <w:t xml:space="preserve">, all other applicable UK and ROI legislation, pending legal requirements, and the principles of </w:t>
      </w:r>
      <w:r w:rsidRPr="00376B71">
        <w:rPr>
          <w:b/>
          <w:bCs/>
          <w:noProof/>
          <w:sz w:val="20"/>
          <w:szCs w:val="20"/>
        </w:rPr>
        <w:t>ISO 45001:2018 Occupational Health and Safety Management Systems</w:t>
      </w:r>
      <w:r w:rsidRPr="00376B71">
        <w:rPr>
          <w:noProof/>
          <w:sz w:val="20"/>
          <w:szCs w:val="20"/>
        </w:rPr>
        <w:t>.</w:t>
      </w:r>
    </w:p>
    <w:p w14:paraId="655CF92A" w14:textId="77777777" w:rsidR="00376B71" w:rsidRPr="00376B71" w:rsidRDefault="00376B71" w:rsidP="00376B71">
      <w:pPr>
        <w:numPr>
          <w:ilvl w:val="0"/>
          <w:numId w:val="3"/>
        </w:numPr>
        <w:rPr>
          <w:noProof/>
          <w:sz w:val="20"/>
          <w:szCs w:val="20"/>
        </w:rPr>
      </w:pPr>
      <w:r w:rsidRPr="00376B71">
        <w:rPr>
          <w:noProof/>
          <w:sz w:val="20"/>
          <w:szCs w:val="20"/>
        </w:rPr>
        <w:t>Managing and conducting all work activities so far as is reasonably practicable to ensure the safety, health, and welfare at work of employees, contractors, and others affected by our operations.</w:t>
      </w:r>
    </w:p>
    <w:p w14:paraId="3ACFA809" w14:textId="77777777" w:rsidR="00376B71" w:rsidRPr="00376B71" w:rsidRDefault="00376B71" w:rsidP="00376B71">
      <w:pPr>
        <w:numPr>
          <w:ilvl w:val="0"/>
          <w:numId w:val="3"/>
        </w:numPr>
        <w:rPr>
          <w:noProof/>
          <w:sz w:val="20"/>
          <w:szCs w:val="20"/>
        </w:rPr>
      </w:pPr>
      <w:r w:rsidRPr="00376B71">
        <w:rPr>
          <w:noProof/>
          <w:sz w:val="20"/>
          <w:szCs w:val="20"/>
        </w:rPr>
        <w:t>Providing adequate resources — financial, technical, and human — including competent staff, safe places of work, safe plant and equipment, appropriate supervision, information, instruction, training, and personal protective equipment (PPE).</w:t>
      </w:r>
    </w:p>
    <w:p w14:paraId="4B6E2AB3" w14:textId="77777777" w:rsidR="00376B71" w:rsidRPr="00376B71" w:rsidRDefault="00376B71" w:rsidP="00376B71">
      <w:pPr>
        <w:numPr>
          <w:ilvl w:val="0"/>
          <w:numId w:val="3"/>
        </w:numPr>
        <w:rPr>
          <w:noProof/>
          <w:sz w:val="20"/>
          <w:szCs w:val="20"/>
        </w:rPr>
      </w:pPr>
      <w:r w:rsidRPr="00376B71">
        <w:rPr>
          <w:noProof/>
          <w:sz w:val="20"/>
          <w:szCs w:val="20"/>
        </w:rPr>
        <w:t xml:space="preserve">Promoting positive health initiatives to support our workforce in maintaining both their </w:t>
      </w:r>
      <w:r w:rsidRPr="00376B71">
        <w:rPr>
          <w:b/>
          <w:bCs/>
          <w:noProof/>
          <w:sz w:val="20"/>
          <w:szCs w:val="20"/>
        </w:rPr>
        <w:t>physical and mental health and wellbeing</w:t>
      </w:r>
      <w:r w:rsidRPr="00376B71">
        <w:rPr>
          <w:noProof/>
          <w:sz w:val="20"/>
          <w:szCs w:val="20"/>
        </w:rPr>
        <w:t>.</w:t>
      </w:r>
    </w:p>
    <w:p w14:paraId="5C68EF2A" w14:textId="77777777" w:rsidR="00376B71" w:rsidRPr="00376B71" w:rsidRDefault="00376B71" w:rsidP="00376B71">
      <w:pPr>
        <w:numPr>
          <w:ilvl w:val="0"/>
          <w:numId w:val="3"/>
        </w:numPr>
        <w:rPr>
          <w:noProof/>
          <w:sz w:val="20"/>
          <w:szCs w:val="20"/>
        </w:rPr>
      </w:pPr>
      <w:r w:rsidRPr="00376B71">
        <w:rPr>
          <w:noProof/>
          <w:sz w:val="20"/>
          <w:szCs w:val="20"/>
        </w:rPr>
        <w:t>Preventing, so far as is reasonably practicable, unsafe behaviour, bullying, harassment, or any other conduct that could compromise health, safety, and welfare.</w:t>
      </w:r>
    </w:p>
    <w:p w14:paraId="40AC0BCE" w14:textId="77777777" w:rsidR="00376B71" w:rsidRPr="00376B71" w:rsidRDefault="00376B71" w:rsidP="00376B71">
      <w:pPr>
        <w:numPr>
          <w:ilvl w:val="0"/>
          <w:numId w:val="3"/>
        </w:numPr>
        <w:rPr>
          <w:noProof/>
          <w:sz w:val="20"/>
          <w:szCs w:val="20"/>
        </w:rPr>
      </w:pPr>
      <w:r w:rsidRPr="00376B71">
        <w:rPr>
          <w:noProof/>
          <w:sz w:val="20"/>
          <w:szCs w:val="20"/>
        </w:rPr>
        <w:t>Consulting and engaging with employees and contractors on health and safety matters, ensuring they understand their responsibilities and cooperate with management in achieving a safe working environment.</w:t>
      </w:r>
    </w:p>
    <w:p w14:paraId="234DA6BE" w14:textId="77777777" w:rsidR="00376B71" w:rsidRPr="00376B71" w:rsidRDefault="00376B71" w:rsidP="00376B71">
      <w:pPr>
        <w:numPr>
          <w:ilvl w:val="0"/>
          <w:numId w:val="3"/>
        </w:numPr>
        <w:rPr>
          <w:noProof/>
          <w:sz w:val="20"/>
          <w:szCs w:val="20"/>
        </w:rPr>
      </w:pPr>
      <w:r w:rsidRPr="00376B71">
        <w:rPr>
          <w:noProof/>
          <w:sz w:val="20"/>
          <w:szCs w:val="20"/>
        </w:rPr>
        <w:t>Ensuring that all employees and contractors know they have the right to stop work immediately, without fear of reprisal, if they believe there is an imminent risk to their health or safety.</w:t>
      </w:r>
    </w:p>
    <w:p w14:paraId="750296BF" w14:textId="77777777" w:rsidR="00376B71" w:rsidRPr="00376B71" w:rsidRDefault="00376B71" w:rsidP="00376B71">
      <w:pPr>
        <w:numPr>
          <w:ilvl w:val="0"/>
          <w:numId w:val="3"/>
        </w:numPr>
        <w:rPr>
          <w:noProof/>
          <w:sz w:val="20"/>
          <w:szCs w:val="20"/>
        </w:rPr>
      </w:pPr>
      <w:r w:rsidRPr="00376B71">
        <w:rPr>
          <w:noProof/>
          <w:sz w:val="20"/>
          <w:szCs w:val="20"/>
        </w:rPr>
        <w:t xml:space="preserve">Driving a culture of </w:t>
      </w:r>
      <w:r w:rsidRPr="00376B71">
        <w:rPr>
          <w:b/>
          <w:bCs/>
          <w:noProof/>
          <w:sz w:val="20"/>
          <w:szCs w:val="20"/>
        </w:rPr>
        <w:t>continual improvement</w:t>
      </w:r>
      <w:r w:rsidRPr="00376B71">
        <w:rPr>
          <w:noProof/>
          <w:sz w:val="20"/>
          <w:szCs w:val="20"/>
        </w:rPr>
        <w:t xml:space="preserve"> in occupational health and safety performance through regular monitoring, review, and learning from experience.</w:t>
      </w:r>
    </w:p>
    <w:p w14:paraId="7F5E016A" w14:textId="77777777" w:rsidR="00376B71" w:rsidRPr="00376B71" w:rsidRDefault="00376B71" w:rsidP="00376B71">
      <w:pPr>
        <w:rPr>
          <w:noProof/>
          <w:sz w:val="20"/>
          <w:szCs w:val="20"/>
        </w:rPr>
      </w:pPr>
      <w:r w:rsidRPr="00376B71">
        <w:rPr>
          <w:noProof/>
          <w:sz w:val="20"/>
          <w:szCs w:val="20"/>
        </w:rPr>
        <w:pict w14:anchorId="60E28487">
          <v:rect id="_x0000_i1031" style="width:0;height:1.5pt" o:hralign="center" o:hrstd="t" o:hr="t" fillcolor="#a0a0a0" stroked="f"/>
        </w:pict>
      </w:r>
    </w:p>
    <w:p w14:paraId="06535499" w14:textId="67CA4512" w:rsidR="10B515FA" w:rsidRDefault="10B515FA" w:rsidP="00376B71"/>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3558"/>
        <w:gridCol w:w="950"/>
        <w:gridCol w:w="2594"/>
      </w:tblGrid>
      <w:tr w:rsidR="00BE10C2" w14:paraId="1C20D0E9" w14:textId="77777777" w:rsidTr="10B515FA">
        <w:tc>
          <w:tcPr>
            <w:tcW w:w="2254" w:type="dxa"/>
          </w:tcPr>
          <w:p w14:paraId="2A759EBA" w14:textId="63E3AD1B" w:rsidR="00BE10C2" w:rsidRDefault="00BE10C2" w:rsidP="10B515FA">
            <w:pPr>
              <w:spacing w:line="360" w:lineRule="auto"/>
              <w:jc w:val="both"/>
              <w:rPr>
                <w:sz w:val="18"/>
                <w:szCs w:val="18"/>
              </w:rPr>
            </w:pPr>
            <w:r w:rsidRPr="10B515FA">
              <w:rPr>
                <w:sz w:val="18"/>
                <w:szCs w:val="18"/>
              </w:rPr>
              <w:t>Signed</w:t>
            </w:r>
          </w:p>
        </w:tc>
        <w:tc>
          <w:tcPr>
            <w:tcW w:w="3558" w:type="dxa"/>
            <w:tcBorders>
              <w:bottom w:val="single" w:sz="4" w:space="0" w:color="auto"/>
            </w:tcBorders>
          </w:tcPr>
          <w:p w14:paraId="7D570209" w14:textId="489E84CE" w:rsidR="00057C63" w:rsidRDefault="00A217CE" w:rsidP="10B515FA">
            <w:pPr>
              <w:tabs>
                <w:tab w:val="left" w:pos="915"/>
              </w:tabs>
              <w:spacing w:line="360" w:lineRule="auto"/>
              <w:jc w:val="both"/>
              <w:rPr>
                <w:sz w:val="18"/>
                <w:szCs w:val="18"/>
              </w:rPr>
            </w:pPr>
            <w:r>
              <w:rPr>
                <w:rFonts w:cstheme="minorHAnsi"/>
                <w:sz w:val="20"/>
                <w:szCs w:val="20"/>
              </w:rPr>
              <w:tab/>
            </w:r>
            <w:r w:rsidR="007168D0">
              <w:rPr>
                <w:rFonts w:cstheme="minorHAnsi"/>
                <w:sz w:val="20"/>
                <w:szCs w:val="20"/>
              </w:rPr>
              <w:t xml:space="preserve">P. Coote </w:t>
            </w:r>
          </w:p>
        </w:tc>
        <w:tc>
          <w:tcPr>
            <w:tcW w:w="950" w:type="dxa"/>
          </w:tcPr>
          <w:p w14:paraId="0DF60384" w14:textId="3A3E6213" w:rsidR="00BE10C2" w:rsidRDefault="00057C63" w:rsidP="10B515FA">
            <w:pPr>
              <w:spacing w:line="360" w:lineRule="auto"/>
              <w:jc w:val="both"/>
              <w:rPr>
                <w:sz w:val="18"/>
                <w:szCs w:val="18"/>
              </w:rPr>
            </w:pPr>
            <w:r w:rsidRPr="10B515FA">
              <w:rPr>
                <w:sz w:val="18"/>
                <w:szCs w:val="18"/>
              </w:rPr>
              <w:t>Date</w:t>
            </w:r>
          </w:p>
        </w:tc>
        <w:tc>
          <w:tcPr>
            <w:tcW w:w="2594" w:type="dxa"/>
            <w:tcBorders>
              <w:bottom w:val="single" w:sz="4" w:space="0" w:color="auto"/>
            </w:tcBorders>
          </w:tcPr>
          <w:p w14:paraId="31F19654" w14:textId="37EB30B5" w:rsidR="00BE10C2" w:rsidRDefault="00376B71" w:rsidP="10B515FA">
            <w:pPr>
              <w:spacing w:line="360" w:lineRule="auto"/>
              <w:jc w:val="both"/>
              <w:rPr>
                <w:sz w:val="18"/>
                <w:szCs w:val="18"/>
              </w:rPr>
            </w:pPr>
            <w:r>
              <w:rPr>
                <w:sz w:val="18"/>
                <w:szCs w:val="18"/>
              </w:rPr>
              <w:t>29.09.2025</w:t>
            </w:r>
          </w:p>
        </w:tc>
      </w:tr>
      <w:tr w:rsidR="00057C63" w14:paraId="67ADB010" w14:textId="77777777" w:rsidTr="10B515FA">
        <w:trPr>
          <w:trHeight w:val="314"/>
        </w:trPr>
        <w:tc>
          <w:tcPr>
            <w:tcW w:w="2254" w:type="dxa"/>
          </w:tcPr>
          <w:p w14:paraId="782C7CBF" w14:textId="77777777" w:rsidR="00057C63" w:rsidRPr="00BE10C2" w:rsidRDefault="00057C63" w:rsidP="10B515FA">
            <w:pPr>
              <w:spacing w:line="360" w:lineRule="auto"/>
              <w:jc w:val="both"/>
              <w:rPr>
                <w:sz w:val="18"/>
                <w:szCs w:val="18"/>
              </w:rPr>
            </w:pPr>
          </w:p>
        </w:tc>
        <w:tc>
          <w:tcPr>
            <w:tcW w:w="3558" w:type="dxa"/>
            <w:tcBorders>
              <w:top w:val="single" w:sz="4" w:space="0" w:color="auto"/>
            </w:tcBorders>
          </w:tcPr>
          <w:p w14:paraId="50CCCC79" w14:textId="77777777" w:rsidR="00057C63" w:rsidRDefault="00057C63" w:rsidP="10B515FA">
            <w:pPr>
              <w:pStyle w:val="NoSpacing"/>
              <w:rPr>
                <w:sz w:val="18"/>
                <w:szCs w:val="18"/>
              </w:rPr>
            </w:pPr>
          </w:p>
          <w:p w14:paraId="5DBA9136" w14:textId="368657B8" w:rsidR="00057C63" w:rsidRDefault="004E7438" w:rsidP="10B515FA">
            <w:pPr>
              <w:pStyle w:val="NoSpacing"/>
              <w:rPr>
                <w:i/>
                <w:iCs/>
                <w:sz w:val="18"/>
                <w:szCs w:val="18"/>
              </w:rPr>
            </w:pPr>
            <w:r w:rsidRPr="10B515FA">
              <w:rPr>
                <w:sz w:val="18"/>
                <w:szCs w:val="18"/>
              </w:rPr>
              <w:t>Paul Coote</w:t>
            </w:r>
            <w:r w:rsidR="00057C63" w:rsidRPr="10B515FA">
              <w:rPr>
                <w:sz w:val="18"/>
                <w:szCs w:val="18"/>
              </w:rPr>
              <w:t xml:space="preserve"> - </w:t>
            </w:r>
            <w:r w:rsidR="00057C63" w:rsidRPr="10B515FA">
              <w:rPr>
                <w:i/>
                <w:iCs/>
                <w:sz w:val="18"/>
                <w:szCs w:val="18"/>
              </w:rPr>
              <w:t>Managing Director</w:t>
            </w:r>
          </w:p>
        </w:tc>
        <w:tc>
          <w:tcPr>
            <w:tcW w:w="950" w:type="dxa"/>
          </w:tcPr>
          <w:p w14:paraId="5961BF20" w14:textId="77777777" w:rsidR="00057C63" w:rsidRDefault="00057C63" w:rsidP="10B515FA">
            <w:pPr>
              <w:spacing w:line="360" w:lineRule="auto"/>
              <w:jc w:val="both"/>
              <w:rPr>
                <w:sz w:val="18"/>
                <w:szCs w:val="18"/>
              </w:rPr>
            </w:pPr>
          </w:p>
        </w:tc>
        <w:tc>
          <w:tcPr>
            <w:tcW w:w="2594" w:type="dxa"/>
            <w:tcBorders>
              <w:top w:val="single" w:sz="4" w:space="0" w:color="auto"/>
            </w:tcBorders>
          </w:tcPr>
          <w:p w14:paraId="15EE07CB" w14:textId="77777777" w:rsidR="00057C63" w:rsidRDefault="00057C63" w:rsidP="10B515FA">
            <w:pPr>
              <w:spacing w:line="360" w:lineRule="auto"/>
              <w:jc w:val="both"/>
              <w:rPr>
                <w:sz w:val="18"/>
                <w:szCs w:val="18"/>
              </w:rPr>
            </w:pPr>
          </w:p>
        </w:tc>
      </w:tr>
    </w:tbl>
    <w:p w14:paraId="75E7E081" w14:textId="6A416EA1" w:rsidR="00845C0B" w:rsidRPr="007B7B00" w:rsidRDefault="00845C0B" w:rsidP="004E7438">
      <w:pPr>
        <w:spacing w:line="360" w:lineRule="auto"/>
        <w:jc w:val="both"/>
        <w:rPr>
          <w:rFonts w:cstheme="minorHAnsi"/>
          <w:b/>
          <w:sz w:val="20"/>
          <w:szCs w:val="20"/>
        </w:rPr>
      </w:pPr>
    </w:p>
    <w:sectPr w:rsidR="00845C0B" w:rsidRPr="007B7B00" w:rsidSect="00057C63">
      <w:headerReference w:type="default" r:id="rId10"/>
      <w:footerReference w:type="default" r:id="rId11"/>
      <w:pgSz w:w="11906" w:h="16838" w:code="9"/>
      <w:pgMar w:top="1440" w:right="1440" w:bottom="90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50F3" w14:textId="77777777" w:rsidR="000610DA" w:rsidRDefault="000610DA" w:rsidP="000B4079">
      <w:pPr>
        <w:spacing w:after="0" w:line="240" w:lineRule="auto"/>
      </w:pPr>
      <w:r>
        <w:separator/>
      </w:r>
    </w:p>
  </w:endnote>
  <w:endnote w:type="continuationSeparator" w:id="0">
    <w:p w14:paraId="2E05F293" w14:textId="77777777" w:rsidR="000610DA" w:rsidRDefault="000610DA" w:rsidP="000B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5B1BD3A" w14:paraId="48C451DD" w14:textId="77777777" w:rsidTr="414B693C">
      <w:trPr>
        <w:trHeight w:val="300"/>
      </w:trPr>
      <w:tc>
        <w:tcPr>
          <w:tcW w:w="3005" w:type="dxa"/>
        </w:tcPr>
        <w:p w14:paraId="3FF5CD68" w14:textId="1296CC7A" w:rsidR="55B1BD3A" w:rsidRDefault="55B1BD3A" w:rsidP="55B1BD3A">
          <w:pPr>
            <w:pStyle w:val="Header"/>
            <w:ind w:left="-115"/>
          </w:pPr>
          <w:r>
            <w:t>PJD PO 07</w:t>
          </w:r>
        </w:p>
      </w:tc>
      <w:tc>
        <w:tcPr>
          <w:tcW w:w="3005" w:type="dxa"/>
        </w:tcPr>
        <w:p w14:paraId="49097C0B" w14:textId="0182C974" w:rsidR="55B1BD3A" w:rsidRDefault="55B1BD3A" w:rsidP="55B1BD3A">
          <w:pPr>
            <w:pStyle w:val="Header"/>
            <w:jc w:val="center"/>
          </w:pPr>
          <w:r>
            <w:t>Issue 3</w:t>
          </w:r>
        </w:p>
      </w:tc>
      <w:tc>
        <w:tcPr>
          <w:tcW w:w="3005" w:type="dxa"/>
        </w:tcPr>
        <w:p w14:paraId="79F3CEEC" w14:textId="258FCAD8" w:rsidR="55B1BD3A" w:rsidRDefault="414B693C" w:rsidP="55B1BD3A">
          <w:pPr>
            <w:pStyle w:val="Header"/>
            <w:ind w:right="-115"/>
            <w:jc w:val="right"/>
          </w:pPr>
          <w:r>
            <w:t>Issue: 26/04/24</w:t>
          </w:r>
        </w:p>
      </w:tc>
    </w:tr>
  </w:tbl>
  <w:p w14:paraId="536277FD" w14:textId="4EAEBA76" w:rsidR="55B1BD3A" w:rsidRDefault="55B1BD3A" w:rsidP="55B1BD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5EA3" w14:textId="77777777" w:rsidR="000610DA" w:rsidRDefault="000610DA" w:rsidP="000B4079">
      <w:pPr>
        <w:spacing w:after="0" w:line="240" w:lineRule="auto"/>
      </w:pPr>
      <w:r>
        <w:separator/>
      </w:r>
    </w:p>
  </w:footnote>
  <w:footnote w:type="continuationSeparator" w:id="0">
    <w:p w14:paraId="70DD16F4" w14:textId="77777777" w:rsidR="000610DA" w:rsidRDefault="000610DA" w:rsidP="000B4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9DDC5" w14:textId="3F329082" w:rsidR="000B4079" w:rsidRPr="000B4079" w:rsidRDefault="10B515FA" w:rsidP="000B4079">
    <w:pPr>
      <w:pStyle w:val="NoSpacing"/>
      <w:spacing w:line="276" w:lineRule="auto"/>
      <w:ind w:right="-472"/>
      <w:jc w:val="both"/>
      <w:rPr>
        <w:rFonts w:ascii="Leelawadee" w:hAnsi="Leelawadee" w:cs="Leelawadee"/>
        <w:sz w:val="32"/>
        <w:szCs w:val="32"/>
      </w:rPr>
    </w:pPr>
    <w:r>
      <w:rPr>
        <w:noProof/>
      </w:rPr>
      <w:drawing>
        <wp:inline distT="0" distB="0" distL="0" distR="0" wp14:anchorId="6A2CF88B" wp14:editId="0C0894B2">
          <wp:extent cx="1543050" cy="646334"/>
          <wp:effectExtent l="19050" t="0" r="0" b="0"/>
          <wp:docPr id="1" name="Picture 0" descr="pj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543050" cy="646334"/>
                  </a:xfrm>
                  <a:prstGeom prst="rect">
                    <a:avLst/>
                  </a:prstGeom>
                </pic:spPr>
              </pic:pic>
            </a:graphicData>
          </a:graphic>
        </wp:inline>
      </w:drawing>
    </w:r>
    <w:r w:rsidRPr="10B515FA">
      <w:rPr>
        <w:b/>
        <w:bCs/>
        <w:noProof/>
        <w:color w:val="7B7B7B" w:themeColor="accent3" w:themeShade="BF"/>
        <w:sz w:val="40"/>
        <w:szCs w:val="40"/>
      </w:rPr>
      <w:t xml:space="preserve"> </w:t>
    </w:r>
    <w:r w:rsidRPr="10B515FA">
      <w:rPr>
        <w:b/>
        <w:bCs/>
        <w:noProof/>
        <w:color w:val="7B7B7B" w:themeColor="accent3" w:themeShade="BF"/>
        <w:sz w:val="32"/>
        <w:szCs w:val="32"/>
      </w:rPr>
      <w:t>OCCUPATIONAL</w:t>
    </w:r>
    <w:r w:rsidRPr="10B515FA">
      <w:rPr>
        <w:b/>
        <w:bCs/>
        <w:noProof/>
        <w:color w:val="7B7B7B" w:themeColor="accent3" w:themeShade="BF"/>
        <w:sz w:val="40"/>
        <w:szCs w:val="40"/>
      </w:rPr>
      <w:t xml:space="preserve"> </w:t>
    </w:r>
    <w:r w:rsidRPr="10B515FA">
      <w:rPr>
        <w:b/>
        <w:bCs/>
        <w:noProof/>
        <w:color w:val="7B7B7B" w:themeColor="accent3" w:themeShade="BF"/>
        <w:sz w:val="32"/>
        <w:szCs w:val="32"/>
      </w:rPr>
      <w:t xml:space="preserve">HEALTH &amp; SAFETY POLICY </w:t>
    </w:r>
  </w:p>
  <w:p w14:paraId="02AF75DF" w14:textId="19DDA5A3" w:rsidR="000B4079" w:rsidRDefault="000B4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A34AE"/>
    <w:multiLevelType w:val="multilevel"/>
    <w:tmpl w:val="633C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F3E68"/>
    <w:multiLevelType w:val="hybridMultilevel"/>
    <w:tmpl w:val="4286823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7F74650D"/>
    <w:multiLevelType w:val="multilevel"/>
    <w:tmpl w:val="BF9AF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19873057">
    <w:abstractNumId w:val="2"/>
  </w:num>
  <w:num w:numId="2" w16cid:durableId="777414299">
    <w:abstractNumId w:val="1"/>
  </w:num>
  <w:num w:numId="3" w16cid:durableId="186836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C1C"/>
    <w:rsid w:val="00057C63"/>
    <w:rsid w:val="000610DA"/>
    <w:rsid w:val="000B4079"/>
    <w:rsid w:val="00376B71"/>
    <w:rsid w:val="004E7438"/>
    <w:rsid w:val="00504375"/>
    <w:rsid w:val="006B38D2"/>
    <w:rsid w:val="006C7159"/>
    <w:rsid w:val="007168D0"/>
    <w:rsid w:val="007909CF"/>
    <w:rsid w:val="007B7B00"/>
    <w:rsid w:val="008300AB"/>
    <w:rsid w:val="00845C0B"/>
    <w:rsid w:val="00885264"/>
    <w:rsid w:val="00922A2C"/>
    <w:rsid w:val="00930B0D"/>
    <w:rsid w:val="009C622E"/>
    <w:rsid w:val="00A217CE"/>
    <w:rsid w:val="00AC6657"/>
    <w:rsid w:val="00B02200"/>
    <w:rsid w:val="00B64A60"/>
    <w:rsid w:val="00BC3D51"/>
    <w:rsid w:val="00BE10C2"/>
    <w:rsid w:val="00E40394"/>
    <w:rsid w:val="00E556BF"/>
    <w:rsid w:val="00EB7C1C"/>
    <w:rsid w:val="10B515FA"/>
    <w:rsid w:val="12F0B52C"/>
    <w:rsid w:val="2262E44A"/>
    <w:rsid w:val="255CD966"/>
    <w:rsid w:val="2C70AE2B"/>
    <w:rsid w:val="3ED84604"/>
    <w:rsid w:val="414B693C"/>
    <w:rsid w:val="55B1BD3A"/>
    <w:rsid w:val="65024BDC"/>
    <w:rsid w:val="67B5EED3"/>
    <w:rsid w:val="690D2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09E2"/>
  <w15:chartTrackingRefBased/>
  <w15:docId w15:val="{AA236C3F-A9A9-49CC-834A-BBA2B6A3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C1C"/>
    <w:pPr>
      <w:spacing w:after="200" w:line="276" w:lineRule="auto"/>
    </w:pPr>
    <w:rPr>
      <w:rFonts w:eastAsiaTheme="minorEastAsia"/>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C1C"/>
    <w:pPr>
      <w:spacing w:after="0" w:line="240" w:lineRule="auto"/>
    </w:pPr>
    <w:rPr>
      <w:rFonts w:eastAsiaTheme="minorEastAsia"/>
      <w:lang w:eastAsia="en-GB"/>
    </w:rPr>
  </w:style>
  <w:style w:type="paragraph" w:styleId="Header">
    <w:name w:val="header"/>
    <w:basedOn w:val="Normal"/>
    <w:link w:val="HeaderChar"/>
    <w:uiPriority w:val="99"/>
    <w:unhideWhenUsed/>
    <w:rsid w:val="000B4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79"/>
    <w:rPr>
      <w:rFonts w:eastAsiaTheme="minorEastAsia"/>
      <w:lang w:eastAsia="en-GB"/>
    </w:rPr>
  </w:style>
  <w:style w:type="paragraph" w:styleId="Footer">
    <w:name w:val="footer"/>
    <w:basedOn w:val="Normal"/>
    <w:link w:val="FooterChar"/>
    <w:uiPriority w:val="99"/>
    <w:unhideWhenUsed/>
    <w:rsid w:val="000B4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79"/>
    <w:rPr>
      <w:rFonts w:eastAsiaTheme="minorEastAsia"/>
      <w:lang w:eastAsia="en-GB"/>
    </w:rPr>
  </w:style>
  <w:style w:type="paragraph" w:styleId="ListParagraph">
    <w:name w:val="List Paragraph"/>
    <w:basedOn w:val="Normal"/>
    <w:uiPriority w:val="34"/>
    <w:qFormat/>
    <w:rsid w:val="00BE10C2"/>
    <w:pPr>
      <w:ind w:left="720"/>
      <w:contextualSpacing/>
    </w:pPr>
  </w:style>
  <w:style w:type="table" w:styleId="TableGrid">
    <w:name w:val="Table Grid"/>
    <w:basedOn w:val="TableNormal"/>
    <w:uiPriority w:val="39"/>
    <w:rsid w:val="00BE1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6B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D7EB498631141A9FA1B66C6FB19E8" ma:contentTypeVersion="14" ma:contentTypeDescription="Create a new document." ma:contentTypeScope="" ma:versionID="03837d28ec04fb93c3f56db8205c60e9">
  <xsd:schema xmlns:xsd="http://www.w3.org/2001/XMLSchema" xmlns:xs="http://www.w3.org/2001/XMLSchema" xmlns:p="http://schemas.microsoft.com/office/2006/metadata/properties" xmlns:ns2="be1b05d6-617b-426d-ac59-c86d825bbc74" xmlns:ns3="b0f2cde6-bece-4f64-a0ad-a5a04cb4c57d" targetNamespace="http://schemas.microsoft.com/office/2006/metadata/properties" ma:root="true" ma:fieldsID="1f9a07d38b10ccd6033a9df264dd8ec3" ns2:_="" ns3:_="">
    <xsd:import namespace="be1b05d6-617b-426d-ac59-c86d825bbc74"/>
    <xsd:import namespace="b0f2cde6-bece-4f64-a0ad-a5a04cb4c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b05d6-617b-426d-ac59-c86d825bb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fd68f57-2aea-481f-85b8-ddd85997f0b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f2cde6-bece-4f64-a0ad-a5a04cb4c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290398-23e4-4429-8552-203c4a6a0d63}" ma:internalName="TaxCatchAll" ma:showField="CatchAllData" ma:web="b0f2cde6-bece-4f64-a0ad-a5a04cb4c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1b05d6-617b-426d-ac59-c86d825bbc74">
      <Terms xmlns="http://schemas.microsoft.com/office/infopath/2007/PartnerControls"/>
    </lcf76f155ced4ddcb4097134ff3c332f>
    <TaxCatchAll xmlns="b0f2cde6-bece-4f64-a0ad-a5a04cb4c57d" xsi:nil="true"/>
  </documentManagement>
</p:properties>
</file>

<file path=customXml/itemProps1.xml><?xml version="1.0" encoding="utf-8"?>
<ds:datastoreItem xmlns:ds="http://schemas.openxmlformats.org/officeDocument/2006/customXml" ds:itemID="{ACFCBD30-1CB6-4760-BC25-92602909A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b05d6-617b-426d-ac59-c86d825bbc74"/>
    <ds:schemaRef ds:uri="b0f2cde6-bece-4f64-a0ad-a5a04cb4c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C5B3B-FD46-4A38-9B38-F73F0F3F4626}">
  <ds:schemaRefs>
    <ds:schemaRef ds:uri="http://schemas.microsoft.com/sharepoint/v3/contenttype/forms"/>
  </ds:schemaRefs>
</ds:datastoreItem>
</file>

<file path=customXml/itemProps3.xml><?xml version="1.0" encoding="utf-8"?>
<ds:datastoreItem xmlns:ds="http://schemas.openxmlformats.org/officeDocument/2006/customXml" ds:itemID="{0CF2811F-BD66-410C-9A69-D6EE2B5FE65F}">
  <ds:schemaRefs>
    <ds:schemaRef ds:uri="http://schemas.microsoft.com/office/2006/metadata/properties"/>
    <ds:schemaRef ds:uri="http://schemas.microsoft.com/office/infopath/2007/PartnerControls"/>
    <ds:schemaRef ds:uri="be1b05d6-617b-426d-ac59-c86d825bbc74"/>
    <ds:schemaRef ds:uri="b0f2cde6-bece-4f64-a0ad-a5a04cb4c57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Esther PJD Safety Supplies</cp:lastModifiedBy>
  <cp:revision>9</cp:revision>
  <dcterms:created xsi:type="dcterms:W3CDTF">2023-08-14T09:28:00Z</dcterms:created>
  <dcterms:modified xsi:type="dcterms:W3CDTF">2025-09-29T13:38:00Z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0x010100F72D7EB498631141A9FA1B66C6FB19E8</vt:lpwstr>
  </property>
  <property fmtid="{D5CDD505-2E9C-101B-9397-08002B2CF9AE}" pid="3" name="MediaServiceImageTags">
    <vt:lpwstr/>
  </property>
</Properties>
</file>